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C5B" w:rsidRPr="005915F8" w:rsidRDefault="00A42C5B" w:rsidP="00A42C5B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 w:rsidRPr="005915F8"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:rsidR="00A42C5B" w:rsidRPr="005915F8" w:rsidRDefault="00A42C5B" w:rsidP="00A42C5B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 w:rsidRPr="005915F8">
        <w:rPr>
          <w:rFonts w:ascii="Arial" w:hAnsi="Arial" w:cs="Arial"/>
          <w:b/>
          <w:bCs/>
          <w:color w:val="000000"/>
          <w:sz w:val="36"/>
          <w:szCs w:val="36"/>
        </w:rPr>
        <w:t>Zastupiteľstvo Bratislavského samosprávneho kraja</w:t>
      </w:r>
    </w:p>
    <w:p w:rsidR="003C478A" w:rsidRPr="002770A7" w:rsidRDefault="003C478A" w:rsidP="00C8228F">
      <w:pPr>
        <w:jc w:val="both"/>
        <w:rPr>
          <w:rFonts w:ascii="Arial" w:hAnsi="Arial" w:cs="Arial"/>
          <w:b/>
          <w:sz w:val="28"/>
          <w:szCs w:val="28"/>
        </w:rPr>
      </w:pPr>
    </w:p>
    <w:p w:rsidR="003C478A" w:rsidRPr="002770A7" w:rsidRDefault="003C478A" w:rsidP="00C8228F">
      <w:pPr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Materiál na rokovani</w:t>
      </w:r>
      <w:r w:rsidR="00C51C92" w:rsidRPr="002770A7">
        <w:rPr>
          <w:rFonts w:ascii="Arial" w:hAnsi="Arial" w:cs="Arial"/>
          <w:sz w:val="22"/>
          <w:szCs w:val="22"/>
        </w:rPr>
        <w:t>a</w:t>
      </w:r>
      <w:r w:rsidRPr="002770A7">
        <w:rPr>
          <w:rFonts w:ascii="Arial" w:hAnsi="Arial" w:cs="Arial"/>
          <w:sz w:val="22"/>
          <w:szCs w:val="22"/>
        </w:rPr>
        <w:t xml:space="preserve"> Zastupiteľstva</w:t>
      </w:r>
    </w:p>
    <w:p w:rsidR="003C478A" w:rsidRPr="002770A7" w:rsidRDefault="003C478A" w:rsidP="00C8228F">
      <w:pPr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Bratislavského samosprávneho kraja</w:t>
      </w:r>
    </w:p>
    <w:p w:rsidR="00A42C5B" w:rsidRPr="005915F8" w:rsidRDefault="00A42C5B" w:rsidP="00A42C5B">
      <w:pPr>
        <w:rPr>
          <w:rFonts w:ascii="Arial" w:hAnsi="Arial" w:cs="Arial"/>
          <w:b/>
        </w:rPr>
      </w:pPr>
      <w:r w:rsidRPr="005915F8">
        <w:rPr>
          <w:rFonts w:ascii="Arial" w:hAnsi="Arial" w:cs="Arial"/>
          <w:bCs/>
          <w:color w:val="000000"/>
          <w:sz w:val="22"/>
          <w:szCs w:val="22"/>
        </w:rPr>
        <w:t>2</w:t>
      </w:r>
      <w:r>
        <w:rPr>
          <w:rFonts w:ascii="Arial" w:hAnsi="Arial" w:cs="Arial"/>
          <w:bCs/>
          <w:color w:val="000000"/>
          <w:sz w:val="22"/>
          <w:szCs w:val="22"/>
        </w:rPr>
        <w:t>6</w:t>
      </w:r>
      <w:r w:rsidRPr="005915F8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Cs/>
          <w:color w:val="000000"/>
          <w:sz w:val="22"/>
          <w:szCs w:val="22"/>
        </w:rPr>
        <w:t>jún</w:t>
      </w:r>
      <w:r w:rsidRPr="005915F8">
        <w:rPr>
          <w:rFonts w:ascii="Arial" w:hAnsi="Arial" w:cs="Arial"/>
          <w:bCs/>
          <w:color w:val="000000"/>
          <w:sz w:val="22"/>
          <w:szCs w:val="22"/>
        </w:rPr>
        <w:t xml:space="preserve"> 201</w:t>
      </w:r>
      <w:r>
        <w:rPr>
          <w:rFonts w:ascii="Arial" w:hAnsi="Arial" w:cs="Arial"/>
          <w:bCs/>
          <w:color w:val="000000"/>
          <w:sz w:val="22"/>
          <w:szCs w:val="22"/>
        </w:rPr>
        <w:t>5</w:t>
      </w:r>
    </w:p>
    <w:p w:rsidR="003C478A" w:rsidRPr="002770A7" w:rsidRDefault="003C478A" w:rsidP="00C8228F">
      <w:pPr>
        <w:jc w:val="both"/>
        <w:rPr>
          <w:rFonts w:ascii="Arial" w:hAnsi="Arial" w:cs="Arial"/>
          <w:b/>
        </w:rPr>
      </w:pPr>
    </w:p>
    <w:p w:rsidR="003C478A" w:rsidRPr="002770A7" w:rsidRDefault="003C478A" w:rsidP="00C8228F">
      <w:pPr>
        <w:jc w:val="both"/>
        <w:rPr>
          <w:rFonts w:ascii="Arial" w:hAnsi="Arial" w:cs="Arial"/>
          <w:b/>
        </w:rPr>
      </w:pPr>
    </w:p>
    <w:p w:rsidR="00B57A7A" w:rsidRPr="002770A7" w:rsidRDefault="00B57A7A" w:rsidP="00350265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2770A7">
        <w:rPr>
          <w:rFonts w:ascii="Arial" w:hAnsi="Arial" w:cs="Arial"/>
          <w:b/>
          <w:bCs/>
          <w:sz w:val="32"/>
          <w:szCs w:val="32"/>
        </w:rPr>
        <w:t>Informácia</w:t>
      </w:r>
    </w:p>
    <w:p w:rsidR="00B57A7A" w:rsidRPr="002770A7" w:rsidRDefault="00B57A7A" w:rsidP="00350265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40668F" w:rsidRPr="002770A7" w:rsidRDefault="00D102A8" w:rsidP="00350265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</w:rPr>
      </w:pPr>
      <w:r w:rsidRPr="002770A7">
        <w:rPr>
          <w:rFonts w:ascii="Arial" w:hAnsi="Arial" w:cs="Arial"/>
          <w:b/>
        </w:rPr>
        <w:t>o</w:t>
      </w:r>
      <w:r w:rsidR="004B06A5" w:rsidRPr="002770A7">
        <w:rPr>
          <w:rFonts w:ascii="Arial" w:hAnsi="Arial" w:cs="Arial"/>
          <w:b/>
        </w:rPr>
        <w:t> </w:t>
      </w:r>
      <w:r w:rsidR="00AD3349" w:rsidRPr="002770A7">
        <w:rPr>
          <w:rFonts w:ascii="Arial" w:hAnsi="Arial" w:cs="Arial"/>
          <w:b/>
        </w:rPr>
        <w:t>spracovanom</w:t>
      </w:r>
      <w:r w:rsidR="004B06A5" w:rsidRPr="002770A7">
        <w:rPr>
          <w:rFonts w:ascii="Arial" w:hAnsi="Arial" w:cs="Arial"/>
          <w:b/>
        </w:rPr>
        <w:t xml:space="preserve"> dokument</w:t>
      </w:r>
      <w:r w:rsidR="00AD3349" w:rsidRPr="002770A7">
        <w:rPr>
          <w:rFonts w:ascii="Arial" w:hAnsi="Arial" w:cs="Arial"/>
          <w:b/>
        </w:rPr>
        <w:t>e</w:t>
      </w:r>
      <w:r w:rsidR="004B06A5" w:rsidRPr="002770A7">
        <w:rPr>
          <w:rFonts w:ascii="Arial" w:hAnsi="Arial" w:cs="Arial"/>
          <w:b/>
        </w:rPr>
        <w:t xml:space="preserve"> „Stratégia znižovania energetickej náročnosti budov vo vlastníctve BSK“</w:t>
      </w:r>
    </w:p>
    <w:p w:rsidR="003C478A" w:rsidRPr="002770A7" w:rsidRDefault="003C478A" w:rsidP="00C8228F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:rsidR="003C478A" w:rsidRDefault="003C478A" w:rsidP="00C8228F">
      <w:pPr>
        <w:jc w:val="both"/>
        <w:rPr>
          <w:rFonts w:ascii="Arial" w:hAnsi="Arial" w:cs="Arial"/>
          <w:b/>
        </w:rPr>
      </w:pPr>
    </w:p>
    <w:p w:rsidR="00A42C5B" w:rsidRPr="002770A7" w:rsidRDefault="00A42C5B" w:rsidP="00C8228F">
      <w:pPr>
        <w:jc w:val="both"/>
        <w:rPr>
          <w:rFonts w:ascii="Arial" w:hAnsi="Arial" w:cs="Arial"/>
          <w:b/>
        </w:rPr>
      </w:pPr>
    </w:p>
    <w:p w:rsidR="00A42C5B" w:rsidRPr="005915F8" w:rsidRDefault="00A42C5B" w:rsidP="00A42C5B">
      <w:pPr>
        <w:rPr>
          <w:rFonts w:ascii="Arial" w:hAnsi="Arial" w:cs="Arial"/>
          <w:b/>
        </w:rPr>
      </w:pPr>
    </w:p>
    <w:p w:rsidR="00A42C5B" w:rsidRPr="005915F8" w:rsidRDefault="00A42C5B" w:rsidP="00A42C5B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915F8"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predkladá:</w:t>
      </w:r>
      <w:r w:rsidRPr="005915F8">
        <w:rPr>
          <w:rFonts w:ascii="Arial" w:hAnsi="Arial" w:cs="Arial"/>
          <w:bCs/>
          <w:color w:val="000000"/>
          <w:sz w:val="22"/>
          <w:szCs w:val="22"/>
        </w:rPr>
        <w:tab/>
      </w:r>
      <w:r w:rsidRPr="005915F8"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:rsidR="00A42C5B" w:rsidRPr="005915F8" w:rsidRDefault="00A42C5B" w:rsidP="00A42C5B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bookmarkStart w:id="0" w:name="_GoBack"/>
      <w:bookmarkEnd w:id="0"/>
    </w:p>
    <w:p w:rsidR="00A42C5B" w:rsidRPr="005915F8" w:rsidRDefault="00A42C5B" w:rsidP="00A42C5B">
      <w:pPr>
        <w:tabs>
          <w:tab w:val="left" w:pos="5670"/>
        </w:tabs>
        <w:ind w:right="-36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915F8">
        <w:rPr>
          <w:rFonts w:ascii="Arial" w:hAnsi="Arial" w:cs="Arial"/>
          <w:bCs/>
          <w:color w:val="000000"/>
          <w:sz w:val="22"/>
          <w:szCs w:val="22"/>
        </w:rPr>
        <w:t>Ing. Martin Berta, CSc.</w:t>
      </w:r>
      <w:r w:rsidRPr="005915F8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5915F8">
        <w:rPr>
          <w:rFonts w:ascii="Arial" w:hAnsi="Arial" w:cs="Arial"/>
          <w:bCs/>
          <w:color w:val="000000"/>
          <w:sz w:val="22"/>
          <w:szCs w:val="22"/>
        </w:rPr>
        <w:t>1.  Návrh uznesenia</w:t>
      </w:r>
    </w:p>
    <w:p w:rsidR="00A42C5B" w:rsidRPr="005915F8" w:rsidRDefault="00A42C5B" w:rsidP="00A42C5B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915F8">
        <w:rPr>
          <w:rFonts w:ascii="Arial" w:hAnsi="Arial" w:cs="Arial"/>
          <w:bCs/>
          <w:color w:val="000000"/>
          <w:sz w:val="22"/>
          <w:szCs w:val="22"/>
        </w:rPr>
        <w:t xml:space="preserve">podpredseda Bratislavského  </w:t>
      </w:r>
      <w:r w:rsidRPr="005915F8">
        <w:rPr>
          <w:rFonts w:ascii="Arial" w:hAnsi="Arial" w:cs="Arial"/>
          <w:bCs/>
          <w:color w:val="000000"/>
          <w:sz w:val="22"/>
          <w:szCs w:val="22"/>
        </w:rPr>
        <w:tab/>
        <w:t>2.  Dôvodová správa</w:t>
      </w:r>
    </w:p>
    <w:p w:rsidR="00A42C5B" w:rsidRDefault="00A42C5B" w:rsidP="00A42C5B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s</w:t>
      </w:r>
      <w:r w:rsidRPr="005915F8">
        <w:rPr>
          <w:rFonts w:ascii="Arial" w:hAnsi="Arial" w:cs="Arial"/>
          <w:bCs/>
          <w:color w:val="000000"/>
          <w:sz w:val="22"/>
          <w:szCs w:val="22"/>
        </w:rPr>
        <w:t>amosprávneho kraja</w:t>
      </w:r>
      <w:r w:rsidRPr="005915F8">
        <w:rPr>
          <w:rFonts w:ascii="Arial" w:hAnsi="Arial" w:cs="Arial"/>
          <w:bCs/>
          <w:color w:val="000000"/>
          <w:sz w:val="22"/>
          <w:szCs w:val="22"/>
        </w:rPr>
        <w:tab/>
        <w:t xml:space="preserve">3.  </w:t>
      </w:r>
      <w:r>
        <w:rPr>
          <w:rFonts w:ascii="Arial" w:hAnsi="Arial" w:cs="Arial"/>
          <w:bCs/>
          <w:color w:val="000000"/>
          <w:sz w:val="22"/>
          <w:szCs w:val="22"/>
        </w:rPr>
        <w:t>Príloha</w:t>
      </w:r>
    </w:p>
    <w:p w:rsidR="00A42C5B" w:rsidRPr="005915F8" w:rsidRDefault="00A42C5B" w:rsidP="00A42C5B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ab/>
        <w:t>4</w:t>
      </w:r>
      <w:r w:rsidRPr="005915F8">
        <w:rPr>
          <w:rFonts w:ascii="Arial" w:hAnsi="Arial" w:cs="Arial"/>
          <w:bCs/>
          <w:color w:val="000000"/>
          <w:sz w:val="22"/>
          <w:szCs w:val="22"/>
        </w:rPr>
        <w:t>.  Stanoviská komisií</w:t>
      </w:r>
    </w:p>
    <w:p w:rsidR="00A42C5B" w:rsidRPr="005915F8" w:rsidRDefault="00A42C5B" w:rsidP="00A42C5B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915F8">
        <w:rPr>
          <w:rFonts w:ascii="Arial" w:hAnsi="Arial" w:cs="Arial"/>
          <w:bCs/>
          <w:color w:val="000000"/>
          <w:sz w:val="22"/>
          <w:szCs w:val="22"/>
        </w:rPr>
        <w:tab/>
        <w:t xml:space="preserve"> </w:t>
      </w:r>
    </w:p>
    <w:p w:rsidR="003C478A" w:rsidRPr="002770A7" w:rsidRDefault="003C478A" w:rsidP="00C8228F">
      <w:pPr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</w:p>
    <w:p w:rsidR="00D2523F" w:rsidRPr="002770A7" w:rsidRDefault="00D2523F" w:rsidP="00C8228F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E442C" w:rsidRPr="002770A7" w:rsidRDefault="007E442C" w:rsidP="00C8228F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40668F" w:rsidRPr="002770A7" w:rsidRDefault="00241F7F" w:rsidP="00C8228F">
      <w:pPr>
        <w:jc w:val="both"/>
        <w:rPr>
          <w:rFonts w:ascii="Arial" w:hAnsi="Arial" w:cs="Arial"/>
          <w:sz w:val="22"/>
          <w:szCs w:val="22"/>
          <w:u w:val="single"/>
        </w:rPr>
      </w:pPr>
      <w:r w:rsidRPr="002770A7">
        <w:rPr>
          <w:rFonts w:ascii="Arial" w:hAnsi="Arial" w:cs="Arial"/>
          <w:sz w:val="22"/>
          <w:szCs w:val="22"/>
          <w:u w:val="single"/>
        </w:rPr>
        <w:t>Zodpovední</w:t>
      </w:r>
      <w:r w:rsidR="0040668F" w:rsidRPr="002770A7">
        <w:rPr>
          <w:rFonts w:ascii="Arial" w:hAnsi="Arial" w:cs="Arial"/>
          <w:sz w:val="22"/>
          <w:szCs w:val="22"/>
          <w:u w:val="single"/>
        </w:rPr>
        <w:t>:</w:t>
      </w:r>
    </w:p>
    <w:p w:rsidR="0040668F" w:rsidRPr="002770A7" w:rsidRDefault="0040668F" w:rsidP="00C8228F">
      <w:pPr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Mgr. Barbora Lukáčová</w:t>
      </w:r>
    </w:p>
    <w:p w:rsidR="0040668F" w:rsidRPr="002770A7" w:rsidRDefault="00D64854" w:rsidP="00C8228F">
      <w:pPr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riaditeľka o</w:t>
      </w:r>
      <w:r w:rsidR="0040668F" w:rsidRPr="002770A7">
        <w:rPr>
          <w:rFonts w:ascii="Arial" w:hAnsi="Arial" w:cs="Arial"/>
          <w:sz w:val="22"/>
          <w:szCs w:val="22"/>
        </w:rPr>
        <w:t>dboru stratégie, územného rozvoja a riadenia projektov</w:t>
      </w:r>
    </w:p>
    <w:p w:rsidR="004965AD" w:rsidRPr="002770A7" w:rsidRDefault="004965AD" w:rsidP="00C8228F">
      <w:pPr>
        <w:jc w:val="both"/>
        <w:rPr>
          <w:rFonts w:ascii="Arial" w:hAnsi="Arial" w:cs="Arial"/>
          <w:sz w:val="22"/>
          <w:szCs w:val="22"/>
        </w:rPr>
      </w:pPr>
    </w:p>
    <w:p w:rsidR="004965AD" w:rsidRPr="002770A7" w:rsidRDefault="004965AD" w:rsidP="00C8228F">
      <w:pPr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 xml:space="preserve">Mgr. Ing. </w:t>
      </w:r>
      <w:proofErr w:type="spellStart"/>
      <w:r w:rsidRPr="002770A7">
        <w:rPr>
          <w:rFonts w:ascii="Arial" w:hAnsi="Arial" w:cs="Arial"/>
          <w:sz w:val="22"/>
          <w:szCs w:val="22"/>
        </w:rPr>
        <w:t>Keselý</w:t>
      </w:r>
      <w:proofErr w:type="spellEnd"/>
      <w:r w:rsidRPr="002770A7">
        <w:rPr>
          <w:rFonts w:ascii="Arial" w:hAnsi="Arial" w:cs="Arial"/>
          <w:sz w:val="22"/>
          <w:szCs w:val="22"/>
        </w:rPr>
        <w:t xml:space="preserve"> Ján</w:t>
      </w:r>
    </w:p>
    <w:p w:rsidR="0040668F" w:rsidRPr="002770A7" w:rsidRDefault="004965AD" w:rsidP="00C8228F">
      <w:pPr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 xml:space="preserve">riaditeľ </w:t>
      </w:r>
      <w:r w:rsidR="00D64854" w:rsidRPr="002770A7">
        <w:rPr>
          <w:rFonts w:ascii="Arial" w:hAnsi="Arial" w:cs="Arial"/>
          <w:sz w:val="22"/>
          <w:szCs w:val="22"/>
        </w:rPr>
        <w:t>odboru investičných činností, správy majetku a VO</w:t>
      </w:r>
    </w:p>
    <w:p w:rsidR="0040668F" w:rsidRPr="002770A7" w:rsidRDefault="0040668F" w:rsidP="00C8228F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40668F" w:rsidRPr="002770A7" w:rsidRDefault="0040668F" w:rsidP="00C8228F">
      <w:pPr>
        <w:jc w:val="both"/>
        <w:rPr>
          <w:rFonts w:ascii="Arial" w:hAnsi="Arial" w:cs="Arial"/>
          <w:sz w:val="22"/>
          <w:szCs w:val="22"/>
          <w:u w:val="single"/>
        </w:rPr>
      </w:pPr>
      <w:r w:rsidRPr="002770A7">
        <w:rPr>
          <w:rFonts w:ascii="Arial" w:hAnsi="Arial" w:cs="Arial"/>
          <w:sz w:val="22"/>
          <w:szCs w:val="22"/>
          <w:u w:val="single"/>
        </w:rPr>
        <w:t>Spracovatelia:</w:t>
      </w:r>
    </w:p>
    <w:p w:rsidR="0040668F" w:rsidRPr="002770A7" w:rsidRDefault="0040668F" w:rsidP="00C8228F">
      <w:pPr>
        <w:jc w:val="both"/>
        <w:rPr>
          <w:rFonts w:ascii="Arial" w:hAnsi="Arial" w:cs="Arial"/>
          <w:sz w:val="22"/>
          <w:szCs w:val="22"/>
        </w:rPr>
      </w:pPr>
    </w:p>
    <w:p w:rsidR="0040668F" w:rsidRPr="002770A7" w:rsidRDefault="0040668F" w:rsidP="00C8228F">
      <w:pPr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Mgr. Martin Hakel, BA</w:t>
      </w:r>
    </w:p>
    <w:p w:rsidR="0040668F" w:rsidRPr="002770A7" w:rsidRDefault="0040668F" w:rsidP="00C8228F">
      <w:pPr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vedúci oddelenia stratégie</w:t>
      </w:r>
      <w:r w:rsidR="001C69A6" w:rsidRPr="002770A7">
        <w:rPr>
          <w:rFonts w:ascii="Arial" w:hAnsi="Arial" w:cs="Arial"/>
          <w:sz w:val="22"/>
          <w:szCs w:val="22"/>
        </w:rPr>
        <w:t xml:space="preserve"> a</w:t>
      </w:r>
      <w:r w:rsidRPr="002770A7">
        <w:rPr>
          <w:rFonts w:ascii="Arial" w:hAnsi="Arial" w:cs="Arial"/>
          <w:sz w:val="22"/>
          <w:szCs w:val="22"/>
        </w:rPr>
        <w:t xml:space="preserve"> územného rozvoja</w:t>
      </w:r>
    </w:p>
    <w:p w:rsidR="0040668F" w:rsidRPr="002770A7" w:rsidRDefault="0040668F" w:rsidP="00C8228F">
      <w:pPr>
        <w:jc w:val="both"/>
        <w:rPr>
          <w:rFonts w:ascii="Arial" w:hAnsi="Arial" w:cs="Arial"/>
          <w:sz w:val="22"/>
          <w:szCs w:val="22"/>
        </w:rPr>
      </w:pPr>
    </w:p>
    <w:p w:rsidR="0040668F" w:rsidRPr="002770A7" w:rsidRDefault="00D102A8" w:rsidP="00C8228F">
      <w:pPr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Ing. Peter Vojtko</w:t>
      </w:r>
    </w:p>
    <w:p w:rsidR="0040668F" w:rsidRPr="002770A7" w:rsidRDefault="0040668F" w:rsidP="00C8228F">
      <w:pPr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 xml:space="preserve">vedúci </w:t>
      </w:r>
      <w:r w:rsidR="00D102A8" w:rsidRPr="002770A7">
        <w:rPr>
          <w:rFonts w:ascii="Arial" w:hAnsi="Arial" w:cs="Arial"/>
          <w:sz w:val="22"/>
          <w:szCs w:val="22"/>
        </w:rPr>
        <w:t>oddelenia investičných činností</w:t>
      </w:r>
    </w:p>
    <w:p w:rsidR="0040668F" w:rsidRPr="002770A7" w:rsidRDefault="0040668F" w:rsidP="00C8228F">
      <w:pPr>
        <w:jc w:val="both"/>
        <w:rPr>
          <w:rFonts w:ascii="Arial" w:hAnsi="Arial" w:cs="Arial"/>
          <w:sz w:val="22"/>
          <w:szCs w:val="22"/>
        </w:rPr>
      </w:pPr>
    </w:p>
    <w:p w:rsidR="0040668F" w:rsidRPr="002770A7" w:rsidRDefault="0040668F" w:rsidP="00C8228F">
      <w:pPr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 xml:space="preserve">Ing. arch. </w:t>
      </w:r>
      <w:proofErr w:type="spellStart"/>
      <w:r w:rsidRPr="002770A7">
        <w:rPr>
          <w:rFonts w:ascii="Arial" w:hAnsi="Arial" w:cs="Arial"/>
          <w:sz w:val="22"/>
          <w:szCs w:val="22"/>
        </w:rPr>
        <w:t>Joana</w:t>
      </w:r>
      <w:proofErr w:type="spellEnd"/>
      <w:r w:rsidRPr="002770A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770A7">
        <w:rPr>
          <w:rFonts w:ascii="Arial" w:hAnsi="Arial" w:cs="Arial"/>
          <w:sz w:val="22"/>
          <w:szCs w:val="22"/>
        </w:rPr>
        <w:t>Holčíková</w:t>
      </w:r>
      <w:proofErr w:type="spellEnd"/>
      <w:r w:rsidRPr="002770A7">
        <w:rPr>
          <w:rFonts w:ascii="Arial" w:hAnsi="Arial" w:cs="Arial"/>
          <w:sz w:val="22"/>
          <w:szCs w:val="22"/>
        </w:rPr>
        <w:t xml:space="preserve"> </w:t>
      </w:r>
    </w:p>
    <w:p w:rsidR="0040668F" w:rsidRPr="002770A7" w:rsidRDefault="0040668F" w:rsidP="00C8228F">
      <w:pPr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referent oddelenia stratégie, územného rozvoja</w:t>
      </w:r>
    </w:p>
    <w:p w:rsidR="00AD3349" w:rsidRPr="002770A7" w:rsidRDefault="00AD3349" w:rsidP="00C8228F">
      <w:pPr>
        <w:jc w:val="both"/>
        <w:rPr>
          <w:rFonts w:ascii="Arial" w:hAnsi="Arial" w:cs="Arial"/>
          <w:sz w:val="22"/>
          <w:szCs w:val="22"/>
        </w:rPr>
      </w:pPr>
    </w:p>
    <w:p w:rsidR="00B57A7A" w:rsidRPr="002770A7" w:rsidRDefault="00B57A7A" w:rsidP="00C8228F">
      <w:pPr>
        <w:jc w:val="both"/>
        <w:rPr>
          <w:rFonts w:ascii="Arial" w:hAnsi="Arial" w:cs="Arial"/>
          <w:sz w:val="22"/>
          <w:szCs w:val="22"/>
        </w:rPr>
      </w:pPr>
    </w:p>
    <w:p w:rsidR="00A42C5B" w:rsidRDefault="00A42C5B" w:rsidP="00350265">
      <w:pPr>
        <w:jc w:val="center"/>
        <w:rPr>
          <w:rFonts w:ascii="Arial" w:hAnsi="Arial" w:cs="Arial"/>
          <w:spacing w:val="70"/>
        </w:rPr>
      </w:pPr>
    </w:p>
    <w:p w:rsidR="00A42C5B" w:rsidRDefault="00A42C5B" w:rsidP="00350265">
      <w:pPr>
        <w:jc w:val="center"/>
        <w:rPr>
          <w:rFonts w:ascii="Arial" w:hAnsi="Arial" w:cs="Arial"/>
          <w:spacing w:val="70"/>
        </w:rPr>
      </w:pPr>
    </w:p>
    <w:p w:rsidR="00A42C5B" w:rsidRPr="005915F8" w:rsidRDefault="00A42C5B" w:rsidP="00A42C5B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5915F8"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:rsidR="00A42C5B" w:rsidRPr="005915F8" w:rsidRDefault="00A42C5B" w:rsidP="00A42C5B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bCs/>
          <w:color w:val="000000"/>
          <w:sz w:val="22"/>
          <w:szCs w:val="22"/>
        </w:rPr>
        <w:t>Jún</w:t>
      </w:r>
      <w:r w:rsidRPr="005915F8">
        <w:rPr>
          <w:rFonts w:ascii="Arial" w:hAnsi="Arial" w:cs="Arial"/>
          <w:bCs/>
          <w:color w:val="000000"/>
          <w:sz w:val="22"/>
          <w:szCs w:val="22"/>
        </w:rPr>
        <w:t xml:space="preserve"> 201</w:t>
      </w:r>
      <w:r>
        <w:rPr>
          <w:rFonts w:ascii="Arial" w:hAnsi="Arial" w:cs="Arial"/>
          <w:bCs/>
          <w:color w:val="000000"/>
          <w:sz w:val="22"/>
          <w:szCs w:val="22"/>
        </w:rPr>
        <w:t>5</w:t>
      </w:r>
    </w:p>
    <w:p w:rsidR="00A42C5B" w:rsidRDefault="00A42C5B" w:rsidP="00350265">
      <w:pPr>
        <w:jc w:val="center"/>
        <w:rPr>
          <w:rFonts w:ascii="Arial" w:hAnsi="Arial" w:cs="Arial"/>
          <w:spacing w:val="70"/>
        </w:rPr>
      </w:pPr>
    </w:p>
    <w:p w:rsidR="00A42C5B" w:rsidRDefault="00A42C5B" w:rsidP="00350265">
      <w:pPr>
        <w:jc w:val="center"/>
        <w:rPr>
          <w:rFonts w:ascii="Arial" w:hAnsi="Arial" w:cs="Arial"/>
          <w:spacing w:val="70"/>
        </w:rPr>
      </w:pPr>
    </w:p>
    <w:p w:rsidR="0040668F" w:rsidRPr="002770A7" w:rsidRDefault="0040668F" w:rsidP="00350265">
      <w:pPr>
        <w:jc w:val="center"/>
        <w:rPr>
          <w:rFonts w:ascii="Arial" w:hAnsi="Arial" w:cs="Arial"/>
          <w:spacing w:val="70"/>
        </w:rPr>
      </w:pPr>
      <w:r w:rsidRPr="002770A7">
        <w:rPr>
          <w:rFonts w:ascii="Arial" w:hAnsi="Arial" w:cs="Arial"/>
          <w:spacing w:val="70"/>
        </w:rPr>
        <w:lastRenderedPageBreak/>
        <w:t>Návrh uznesenia</w:t>
      </w:r>
    </w:p>
    <w:p w:rsidR="005D6CEE" w:rsidRPr="002770A7" w:rsidRDefault="005D6CEE" w:rsidP="00350265">
      <w:pPr>
        <w:jc w:val="center"/>
        <w:rPr>
          <w:rFonts w:ascii="Arial" w:hAnsi="Arial" w:cs="Arial"/>
          <w:sz w:val="22"/>
          <w:szCs w:val="22"/>
        </w:rPr>
      </w:pPr>
    </w:p>
    <w:p w:rsidR="0040668F" w:rsidRPr="002770A7" w:rsidRDefault="0040668F" w:rsidP="00350265">
      <w:pPr>
        <w:jc w:val="center"/>
        <w:rPr>
          <w:rFonts w:ascii="Arial" w:hAnsi="Arial" w:cs="Arial"/>
        </w:rPr>
      </w:pPr>
    </w:p>
    <w:p w:rsidR="0040668F" w:rsidRPr="002770A7" w:rsidRDefault="0040668F" w:rsidP="00350265">
      <w:pPr>
        <w:jc w:val="center"/>
        <w:outlineLvl w:val="0"/>
        <w:rPr>
          <w:rFonts w:ascii="Arial" w:hAnsi="Arial" w:cs="Arial"/>
          <w:b/>
        </w:rPr>
      </w:pPr>
      <w:r w:rsidRPr="002770A7">
        <w:rPr>
          <w:rFonts w:ascii="Arial" w:hAnsi="Arial" w:cs="Arial"/>
          <w:b/>
        </w:rPr>
        <w:t>UZNESENIE č. ....... / 201</w:t>
      </w:r>
      <w:r w:rsidR="00AD3349" w:rsidRPr="002770A7">
        <w:rPr>
          <w:rFonts w:ascii="Arial" w:hAnsi="Arial" w:cs="Arial"/>
          <w:b/>
        </w:rPr>
        <w:t>5</w:t>
      </w:r>
    </w:p>
    <w:p w:rsidR="00380A1D" w:rsidRPr="002770A7" w:rsidRDefault="00380A1D" w:rsidP="00350265">
      <w:pPr>
        <w:jc w:val="center"/>
        <w:outlineLvl w:val="0"/>
        <w:rPr>
          <w:rFonts w:ascii="Arial" w:hAnsi="Arial" w:cs="Arial"/>
          <w:b/>
        </w:rPr>
      </w:pPr>
    </w:p>
    <w:p w:rsidR="0040668F" w:rsidRPr="002770A7" w:rsidRDefault="0040668F" w:rsidP="00350265">
      <w:pPr>
        <w:jc w:val="center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zo dňa </w:t>
      </w:r>
      <w:r w:rsidR="001F70B8" w:rsidRPr="002770A7">
        <w:rPr>
          <w:rFonts w:ascii="Arial" w:hAnsi="Arial" w:cs="Arial"/>
          <w:sz w:val="22"/>
          <w:szCs w:val="22"/>
        </w:rPr>
        <w:t>2</w:t>
      </w:r>
      <w:r w:rsidR="00AD3349" w:rsidRPr="002770A7">
        <w:rPr>
          <w:rFonts w:ascii="Arial" w:hAnsi="Arial" w:cs="Arial"/>
          <w:sz w:val="22"/>
          <w:szCs w:val="22"/>
        </w:rPr>
        <w:t>6</w:t>
      </w:r>
      <w:r w:rsidRPr="002770A7">
        <w:rPr>
          <w:rFonts w:ascii="Arial" w:hAnsi="Arial" w:cs="Arial"/>
          <w:sz w:val="22"/>
          <w:szCs w:val="22"/>
        </w:rPr>
        <w:t>.</w:t>
      </w:r>
      <w:r w:rsidR="00AD3349" w:rsidRPr="002770A7">
        <w:rPr>
          <w:rFonts w:ascii="Arial" w:hAnsi="Arial" w:cs="Arial"/>
          <w:sz w:val="22"/>
          <w:szCs w:val="22"/>
        </w:rPr>
        <w:t>6</w:t>
      </w:r>
      <w:r w:rsidRPr="002770A7">
        <w:rPr>
          <w:rFonts w:ascii="Arial" w:hAnsi="Arial" w:cs="Arial"/>
          <w:sz w:val="22"/>
          <w:szCs w:val="22"/>
        </w:rPr>
        <w:t>.201</w:t>
      </w:r>
      <w:r w:rsidR="00AD3349" w:rsidRPr="002770A7">
        <w:rPr>
          <w:rFonts w:ascii="Arial" w:hAnsi="Arial" w:cs="Arial"/>
          <w:sz w:val="22"/>
          <w:szCs w:val="22"/>
        </w:rPr>
        <w:t>5</w:t>
      </w:r>
    </w:p>
    <w:p w:rsidR="0040668F" w:rsidRPr="002770A7" w:rsidRDefault="0040668F" w:rsidP="00350265">
      <w:pPr>
        <w:jc w:val="center"/>
        <w:rPr>
          <w:rFonts w:ascii="Arial" w:hAnsi="Arial" w:cs="Arial"/>
          <w:sz w:val="22"/>
          <w:szCs w:val="22"/>
        </w:rPr>
      </w:pPr>
    </w:p>
    <w:p w:rsidR="0040668F" w:rsidRPr="002770A7" w:rsidRDefault="0040668F" w:rsidP="00350265">
      <w:pPr>
        <w:jc w:val="center"/>
        <w:rPr>
          <w:rFonts w:ascii="Arial" w:hAnsi="Arial" w:cs="Arial"/>
          <w:sz w:val="22"/>
          <w:szCs w:val="22"/>
        </w:rPr>
      </w:pPr>
    </w:p>
    <w:p w:rsidR="0040668F" w:rsidRPr="002770A7" w:rsidRDefault="0040668F" w:rsidP="00350265">
      <w:pPr>
        <w:jc w:val="center"/>
        <w:rPr>
          <w:rFonts w:ascii="Arial" w:hAnsi="Arial" w:cs="Arial"/>
          <w:sz w:val="22"/>
          <w:szCs w:val="22"/>
        </w:rPr>
      </w:pPr>
    </w:p>
    <w:p w:rsidR="0040668F" w:rsidRPr="002770A7" w:rsidRDefault="0040668F" w:rsidP="00025893">
      <w:pPr>
        <w:spacing w:line="276" w:lineRule="auto"/>
        <w:outlineLvl w:val="0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40668F" w:rsidRPr="002770A7" w:rsidRDefault="0040668F" w:rsidP="0002589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0668F" w:rsidRPr="002770A7" w:rsidRDefault="0040668F" w:rsidP="0002589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0668F" w:rsidRPr="002770A7" w:rsidRDefault="00FB4045" w:rsidP="00025893">
      <w:pPr>
        <w:pStyle w:val="Odsekzoznamu"/>
        <w:numPr>
          <w:ilvl w:val="0"/>
          <w:numId w:val="2"/>
        </w:numPr>
        <w:spacing w:line="276" w:lineRule="auto"/>
        <w:ind w:left="0" w:firstLine="0"/>
        <w:jc w:val="center"/>
        <w:rPr>
          <w:rFonts w:ascii="Arial" w:hAnsi="Arial" w:cs="Arial"/>
          <w:b/>
          <w:spacing w:val="70"/>
        </w:rPr>
      </w:pPr>
      <w:r w:rsidRPr="002770A7">
        <w:rPr>
          <w:rFonts w:ascii="Arial" w:hAnsi="Arial" w:cs="Arial"/>
          <w:b/>
          <w:spacing w:val="70"/>
        </w:rPr>
        <w:t>berie na vedomie</w:t>
      </w:r>
    </w:p>
    <w:p w:rsidR="0040668F" w:rsidRPr="002770A7" w:rsidRDefault="0040668F" w:rsidP="00025893">
      <w:pPr>
        <w:pStyle w:val="Zkladntext3"/>
        <w:spacing w:line="276" w:lineRule="auto"/>
        <w:jc w:val="center"/>
        <w:rPr>
          <w:rFonts w:ascii="Arial" w:hAnsi="Arial" w:cs="Arial"/>
          <w:lang w:val="sk-SK" w:eastAsia="sk-SK"/>
        </w:rPr>
      </w:pPr>
    </w:p>
    <w:p w:rsidR="0040668F" w:rsidRPr="002770A7" w:rsidRDefault="00AD3349" w:rsidP="00025893">
      <w:pPr>
        <w:spacing w:line="276" w:lineRule="auto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D</w:t>
      </w:r>
      <w:r w:rsidR="004B06A5" w:rsidRPr="002770A7">
        <w:rPr>
          <w:rFonts w:ascii="Arial" w:hAnsi="Arial" w:cs="Arial"/>
          <w:sz w:val="22"/>
          <w:szCs w:val="22"/>
        </w:rPr>
        <w:t>okument „Stratégia znižovania energetickej náročnosti budov vo vlastníctve BSK“.</w:t>
      </w:r>
    </w:p>
    <w:p w:rsidR="00AD3349" w:rsidRPr="002770A7" w:rsidRDefault="00AD3349" w:rsidP="0002589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AD3349" w:rsidRPr="002770A7" w:rsidRDefault="00AD3349" w:rsidP="0002589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025893" w:rsidRPr="002770A7" w:rsidRDefault="00025893" w:rsidP="0002589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AD3349" w:rsidRPr="002770A7" w:rsidRDefault="00AD3349" w:rsidP="00025893">
      <w:pPr>
        <w:pStyle w:val="Odsekzoznamu"/>
        <w:numPr>
          <w:ilvl w:val="0"/>
          <w:numId w:val="2"/>
        </w:numPr>
        <w:spacing w:line="276" w:lineRule="auto"/>
        <w:ind w:left="0" w:firstLine="0"/>
        <w:jc w:val="center"/>
        <w:rPr>
          <w:rFonts w:ascii="Arial" w:hAnsi="Arial" w:cs="Arial"/>
          <w:b/>
          <w:spacing w:val="70"/>
        </w:rPr>
      </w:pPr>
      <w:r w:rsidRPr="002770A7">
        <w:rPr>
          <w:rFonts w:ascii="Arial" w:hAnsi="Arial" w:cs="Arial"/>
          <w:b/>
          <w:spacing w:val="70"/>
        </w:rPr>
        <w:t>ukladá</w:t>
      </w:r>
    </w:p>
    <w:p w:rsidR="00AD3349" w:rsidRPr="002770A7" w:rsidRDefault="00AD3349" w:rsidP="00025893">
      <w:pPr>
        <w:pStyle w:val="Zkladntext3"/>
        <w:spacing w:line="276" w:lineRule="auto"/>
        <w:rPr>
          <w:rFonts w:ascii="Arial" w:hAnsi="Arial" w:cs="Arial"/>
          <w:lang w:val="sk-SK" w:eastAsia="sk-SK"/>
        </w:rPr>
      </w:pPr>
    </w:p>
    <w:p w:rsidR="00380A1D" w:rsidRPr="002770A7" w:rsidRDefault="00380A1D" w:rsidP="00025893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2770A7">
        <w:rPr>
          <w:rFonts w:ascii="Arial" w:hAnsi="Arial" w:cs="Arial"/>
          <w:sz w:val="22"/>
          <w:szCs w:val="22"/>
          <w:u w:val="single"/>
        </w:rPr>
        <w:t>riaditeľovi Úradu Bratislavského samosprávneho kraja:</w:t>
      </w:r>
    </w:p>
    <w:p w:rsidR="00380A1D" w:rsidRPr="002770A7" w:rsidRDefault="00380A1D" w:rsidP="0002589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25893" w:rsidRPr="002770A7" w:rsidRDefault="00DF0B4C" w:rsidP="0002589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b/>
          <w:sz w:val="22"/>
          <w:szCs w:val="22"/>
        </w:rPr>
        <w:t>B1:</w:t>
      </w:r>
      <w:r w:rsidRPr="002770A7">
        <w:rPr>
          <w:rFonts w:ascii="Arial" w:hAnsi="Arial" w:cs="Arial"/>
          <w:sz w:val="22"/>
          <w:szCs w:val="22"/>
        </w:rPr>
        <w:t xml:space="preserve"> </w:t>
      </w:r>
      <w:r w:rsidRPr="002770A7">
        <w:rPr>
          <w:rFonts w:ascii="Arial" w:hAnsi="Arial" w:cs="Arial"/>
          <w:sz w:val="22"/>
          <w:szCs w:val="22"/>
        </w:rPr>
        <w:tab/>
      </w:r>
      <w:r w:rsidR="008A0404">
        <w:rPr>
          <w:rFonts w:ascii="Arial" w:hAnsi="Arial" w:cs="Arial"/>
          <w:sz w:val="22"/>
          <w:szCs w:val="22"/>
        </w:rPr>
        <w:t xml:space="preserve">Vypracovať </w:t>
      </w:r>
      <w:r w:rsidR="00F7169D">
        <w:rPr>
          <w:rFonts w:ascii="Arial" w:hAnsi="Arial" w:cs="Arial"/>
          <w:sz w:val="22"/>
          <w:szCs w:val="22"/>
        </w:rPr>
        <w:t xml:space="preserve">zoznam </w:t>
      </w:r>
      <w:r w:rsidR="00025893" w:rsidRPr="002770A7">
        <w:rPr>
          <w:rFonts w:ascii="Arial" w:hAnsi="Arial" w:cs="Arial"/>
          <w:sz w:val="22"/>
          <w:szCs w:val="22"/>
        </w:rPr>
        <w:t xml:space="preserve">efektívnych </w:t>
      </w:r>
      <w:r w:rsidR="008A0404">
        <w:rPr>
          <w:rFonts w:ascii="Arial" w:hAnsi="Arial" w:cs="Arial"/>
          <w:sz w:val="22"/>
          <w:szCs w:val="22"/>
        </w:rPr>
        <w:t xml:space="preserve">realizačných </w:t>
      </w:r>
      <w:r w:rsidR="00025893" w:rsidRPr="002770A7">
        <w:rPr>
          <w:rFonts w:ascii="Arial" w:hAnsi="Arial" w:cs="Arial"/>
          <w:sz w:val="22"/>
          <w:szCs w:val="22"/>
        </w:rPr>
        <w:t xml:space="preserve">opatrení </w:t>
      </w:r>
      <w:r w:rsidR="00F7169D">
        <w:rPr>
          <w:rFonts w:ascii="Arial" w:hAnsi="Arial" w:cs="Arial"/>
          <w:sz w:val="22"/>
          <w:szCs w:val="22"/>
        </w:rPr>
        <w:t xml:space="preserve">pre </w:t>
      </w:r>
      <w:r w:rsidR="00025893" w:rsidRPr="002770A7">
        <w:rPr>
          <w:rFonts w:ascii="Arial" w:hAnsi="Arial" w:cs="Arial"/>
          <w:sz w:val="22"/>
          <w:szCs w:val="22"/>
        </w:rPr>
        <w:t>dosiahnutie energetických úspor v zmysle dokumentu „Stratégia znižovania energetickej náročnosti budov vo vlastníctve BSK“</w:t>
      </w:r>
      <w:r w:rsidR="008A0404">
        <w:rPr>
          <w:rFonts w:ascii="Arial" w:hAnsi="Arial" w:cs="Arial"/>
          <w:sz w:val="22"/>
          <w:szCs w:val="22"/>
        </w:rPr>
        <w:t xml:space="preserve"> a predložiť na rokovanie </w:t>
      </w:r>
      <w:r w:rsidR="00F04D20" w:rsidRPr="00F04D20">
        <w:rPr>
          <w:rFonts w:ascii="Arial" w:hAnsi="Arial" w:cs="Arial"/>
          <w:sz w:val="22"/>
          <w:szCs w:val="22"/>
        </w:rPr>
        <w:t>Zastupiteľstva BSK</w:t>
      </w:r>
      <w:r w:rsidR="00025893" w:rsidRPr="002770A7">
        <w:rPr>
          <w:rFonts w:ascii="Arial" w:hAnsi="Arial" w:cs="Arial"/>
          <w:sz w:val="22"/>
          <w:szCs w:val="22"/>
        </w:rPr>
        <w:t xml:space="preserve">. </w:t>
      </w:r>
    </w:p>
    <w:p w:rsidR="00DF0B4C" w:rsidRPr="002770A7" w:rsidRDefault="00DF0B4C" w:rsidP="0002589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F0B4C" w:rsidRPr="002770A7" w:rsidRDefault="00DF0B4C" w:rsidP="00DF0B4C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T: 30.9.2015</w:t>
      </w:r>
    </w:p>
    <w:p w:rsidR="00DF0B4C" w:rsidRPr="002770A7" w:rsidRDefault="00DF0B4C" w:rsidP="0002589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25893" w:rsidRPr="002770A7" w:rsidRDefault="00025893" w:rsidP="0002589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25893" w:rsidRPr="002770A7" w:rsidRDefault="008A0404" w:rsidP="0002589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B2:</w:t>
      </w:r>
      <w:r w:rsidR="00DF0B4C" w:rsidRPr="002770A7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Premietnuť </w:t>
      </w:r>
      <w:r w:rsidR="00DF0B4C" w:rsidRPr="002770A7">
        <w:rPr>
          <w:rFonts w:ascii="Arial" w:hAnsi="Arial" w:cs="Arial"/>
          <w:sz w:val="22"/>
          <w:szCs w:val="22"/>
        </w:rPr>
        <w:t xml:space="preserve">navrhované opatrenia </w:t>
      </w:r>
      <w:r>
        <w:rPr>
          <w:rFonts w:ascii="Arial" w:hAnsi="Arial" w:cs="Arial"/>
          <w:sz w:val="22"/>
          <w:szCs w:val="22"/>
        </w:rPr>
        <w:t xml:space="preserve">podľa bodu B1 do </w:t>
      </w:r>
      <w:r w:rsidR="00DF0B4C" w:rsidRPr="002770A7">
        <w:rPr>
          <w:rFonts w:ascii="Arial" w:hAnsi="Arial" w:cs="Arial"/>
          <w:sz w:val="22"/>
          <w:szCs w:val="22"/>
        </w:rPr>
        <w:t>aktualizáci</w:t>
      </w:r>
      <w:r>
        <w:rPr>
          <w:rFonts w:ascii="Arial" w:hAnsi="Arial" w:cs="Arial"/>
          <w:sz w:val="22"/>
          <w:szCs w:val="22"/>
        </w:rPr>
        <w:t>e</w:t>
      </w:r>
      <w:r w:rsidR="00DF0B4C" w:rsidRPr="002770A7">
        <w:rPr>
          <w:rFonts w:ascii="Arial" w:hAnsi="Arial" w:cs="Arial"/>
          <w:sz w:val="22"/>
          <w:szCs w:val="22"/>
        </w:rPr>
        <w:t xml:space="preserve"> Akčného plánu Úradu BSK pre implementáciu Programu hospodárskeho a sociálneho rozvoja Bratislavského samosprávneho kraja na roky 2014-2020</w:t>
      </w:r>
      <w:r w:rsidR="00025893" w:rsidRPr="002770A7">
        <w:rPr>
          <w:rFonts w:ascii="Arial" w:hAnsi="Arial" w:cs="Arial"/>
          <w:sz w:val="22"/>
          <w:szCs w:val="22"/>
        </w:rPr>
        <w:t xml:space="preserve">. </w:t>
      </w:r>
    </w:p>
    <w:p w:rsidR="00025893" w:rsidRPr="002770A7" w:rsidRDefault="00025893" w:rsidP="0002589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A16DF" w:rsidRPr="002770A7" w:rsidRDefault="009A16DF" w:rsidP="0002589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25893" w:rsidRPr="002770A7" w:rsidRDefault="00025893" w:rsidP="00025893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T: 3</w:t>
      </w:r>
      <w:r w:rsidR="00DF0B4C" w:rsidRPr="002770A7">
        <w:rPr>
          <w:rFonts w:ascii="Arial" w:hAnsi="Arial" w:cs="Arial"/>
          <w:sz w:val="22"/>
          <w:szCs w:val="22"/>
        </w:rPr>
        <w:t>1</w:t>
      </w:r>
      <w:r w:rsidRPr="002770A7">
        <w:rPr>
          <w:rFonts w:ascii="Arial" w:hAnsi="Arial" w:cs="Arial"/>
          <w:sz w:val="22"/>
          <w:szCs w:val="22"/>
        </w:rPr>
        <w:t>.</w:t>
      </w:r>
      <w:r w:rsidR="00F96FCC" w:rsidRPr="002770A7">
        <w:rPr>
          <w:rFonts w:ascii="Arial" w:hAnsi="Arial" w:cs="Arial"/>
          <w:sz w:val="22"/>
          <w:szCs w:val="22"/>
        </w:rPr>
        <w:t>3</w:t>
      </w:r>
      <w:r w:rsidRPr="002770A7">
        <w:rPr>
          <w:rFonts w:ascii="Arial" w:hAnsi="Arial" w:cs="Arial"/>
          <w:sz w:val="22"/>
          <w:szCs w:val="22"/>
        </w:rPr>
        <w:t>.</w:t>
      </w:r>
      <w:r w:rsidR="00DF0B4C" w:rsidRPr="002770A7">
        <w:rPr>
          <w:rFonts w:ascii="Arial" w:hAnsi="Arial" w:cs="Arial"/>
          <w:sz w:val="22"/>
          <w:szCs w:val="22"/>
        </w:rPr>
        <w:t>2016</w:t>
      </w:r>
    </w:p>
    <w:p w:rsidR="0040668F" w:rsidRPr="002770A7" w:rsidRDefault="0040668F" w:rsidP="0002589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0668F" w:rsidRPr="002770A7" w:rsidRDefault="0040668F" w:rsidP="00C8228F">
      <w:pPr>
        <w:jc w:val="both"/>
        <w:rPr>
          <w:rFonts w:ascii="Arial" w:hAnsi="Arial" w:cs="Arial"/>
          <w:sz w:val="22"/>
          <w:szCs w:val="22"/>
        </w:rPr>
      </w:pPr>
    </w:p>
    <w:p w:rsidR="0040668F" w:rsidRPr="002770A7" w:rsidRDefault="0040668F" w:rsidP="00C8228F">
      <w:pPr>
        <w:jc w:val="both"/>
        <w:rPr>
          <w:rFonts w:ascii="Arial" w:hAnsi="Arial" w:cs="Arial"/>
          <w:sz w:val="22"/>
          <w:szCs w:val="22"/>
        </w:rPr>
      </w:pPr>
    </w:p>
    <w:p w:rsidR="0040668F" w:rsidRPr="002770A7" w:rsidRDefault="0040668F" w:rsidP="00C8228F">
      <w:pPr>
        <w:jc w:val="both"/>
        <w:rPr>
          <w:rFonts w:ascii="Arial" w:hAnsi="Arial" w:cs="Arial"/>
          <w:sz w:val="22"/>
          <w:szCs w:val="22"/>
        </w:rPr>
      </w:pPr>
    </w:p>
    <w:p w:rsidR="0040668F" w:rsidRPr="002770A7" w:rsidRDefault="0040668F" w:rsidP="00C8228F">
      <w:pPr>
        <w:jc w:val="both"/>
        <w:rPr>
          <w:rFonts w:ascii="Arial" w:hAnsi="Arial" w:cs="Arial"/>
          <w:sz w:val="22"/>
          <w:szCs w:val="22"/>
        </w:rPr>
      </w:pPr>
    </w:p>
    <w:p w:rsidR="0059169C" w:rsidRPr="002770A7" w:rsidRDefault="0059169C" w:rsidP="00C8228F">
      <w:pPr>
        <w:jc w:val="both"/>
        <w:rPr>
          <w:rFonts w:ascii="Arial" w:hAnsi="Arial" w:cs="Arial"/>
          <w:sz w:val="22"/>
          <w:szCs w:val="22"/>
        </w:rPr>
      </w:pPr>
    </w:p>
    <w:p w:rsidR="0040668F" w:rsidRPr="002770A7" w:rsidRDefault="0040668F" w:rsidP="00C8228F">
      <w:pPr>
        <w:jc w:val="both"/>
        <w:rPr>
          <w:rFonts w:ascii="Arial" w:hAnsi="Arial" w:cs="Arial"/>
          <w:sz w:val="22"/>
          <w:szCs w:val="22"/>
        </w:rPr>
      </w:pPr>
    </w:p>
    <w:p w:rsidR="0040668F" w:rsidRPr="002770A7" w:rsidRDefault="0040668F" w:rsidP="00C8228F">
      <w:pPr>
        <w:jc w:val="both"/>
        <w:rPr>
          <w:rFonts w:ascii="Arial" w:hAnsi="Arial" w:cs="Arial"/>
          <w:sz w:val="22"/>
          <w:szCs w:val="22"/>
        </w:rPr>
      </w:pPr>
    </w:p>
    <w:p w:rsidR="00CD2899" w:rsidRPr="002770A7" w:rsidRDefault="00CD2899" w:rsidP="00C8228F">
      <w:pPr>
        <w:jc w:val="both"/>
        <w:rPr>
          <w:rFonts w:ascii="Arial" w:hAnsi="Arial" w:cs="Arial"/>
          <w:sz w:val="22"/>
          <w:szCs w:val="22"/>
        </w:rPr>
      </w:pPr>
    </w:p>
    <w:p w:rsidR="00025893" w:rsidRPr="002770A7" w:rsidRDefault="00025893" w:rsidP="00C8228F">
      <w:pPr>
        <w:jc w:val="both"/>
        <w:rPr>
          <w:rFonts w:ascii="Arial" w:hAnsi="Arial" w:cs="Arial"/>
          <w:sz w:val="22"/>
          <w:szCs w:val="22"/>
        </w:rPr>
      </w:pPr>
    </w:p>
    <w:p w:rsidR="00CD2899" w:rsidRPr="002770A7" w:rsidRDefault="00CD2899" w:rsidP="00C8228F">
      <w:pPr>
        <w:jc w:val="both"/>
        <w:rPr>
          <w:rFonts w:ascii="Arial" w:hAnsi="Arial" w:cs="Arial"/>
          <w:sz w:val="22"/>
          <w:szCs w:val="22"/>
        </w:rPr>
      </w:pPr>
    </w:p>
    <w:p w:rsidR="00CD2899" w:rsidRPr="002770A7" w:rsidRDefault="00CD2899" w:rsidP="00C8228F">
      <w:pPr>
        <w:jc w:val="both"/>
        <w:rPr>
          <w:rFonts w:ascii="Arial" w:hAnsi="Arial" w:cs="Arial"/>
          <w:sz w:val="22"/>
          <w:szCs w:val="22"/>
        </w:rPr>
      </w:pPr>
    </w:p>
    <w:p w:rsidR="00CD2899" w:rsidRPr="002770A7" w:rsidRDefault="00CD2899" w:rsidP="00C8228F">
      <w:pPr>
        <w:jc w:val="both"/>
        <w:rPr>
          <w:rFonts w:ascii="Arial" w:hAnsi="Arial" w:cs="Arial"/>
          <w:sz w:val="22"/>
          <w:szCs w:val="22"/>
        </w:rPr>
      </w:pPr>
    </w:p>
    <w:p w:rsidR="00B57A7A" w:rsidRPr="002770A7" w:rsidRDefault="00B57A7A" w:rsidP="00C8228F">
      <w:pPr>
        <w:jc w:val="both"/>
        <w:rPr>
          <w:rFonts w:ascii="Arial" w:hAnsi="Arial" w:cs="Arial"/>
          <w:sz w:val="22"/>
          <w:szCs w:val="22"/>
        </w:rPr>
      </w:pPr>
    </w:p>
    <w:p w:rsidR="00B57A7A" w:rsidRPr="002770A7" w:rsidRDefault="00B57A7A" w:rsidP="00C8228F">
      <w:pPr>
        <w:jc w:val="both"/>
        <w:rPr>
          <w:rFonts w:ascii="Arial" w:hAnsi="Arial" w:cs="Arial"/>
          <w:sz w:val="22"/>
          <w:szCs w:val="22"/>
        </w:rPr>
      </w:pPr>
    </w:p>
    <w:p w:rsidR="0040668F" w:rsidRPr="002770A7" w:rsidRDefault="0040668F" w:rsidP="0035026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770A7">
        <w:rPr>
          <w:rFonts w:ascii="Arial" w:hAnsi="Arial" w:cs="Arial"/>
          <w:b/>
          <w:bCs/>
          <w:sz w:val="22"/>
          <w:szCs w:val="22"/>
        </w:rPr>
        <w:lastRenderedPageBreak/>
        <w:t>D ô v o d o v á     s p r á v a</w:t>
      </w:r>
    </w:p>
    <w:p w:rsidR="0040668F" w:rsidRPr="002770A7" w:rsidRDefault="0040668F" w:rsidP="00C8228F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0668F" w:rsidRPr="002770A7" w:rsidRDefault="0040668F" w:rsidP="00C8228F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750CAF" w:rsidRDefault="00A9578F" w:rsidP="00750CA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 xml:space="preserve">Zastupiteľstvo Bratislavského samosprávneho kraja (ďalej len „BSK“) schválilo </w:t>
      </w:r>
      <w:r w:rsidR="005F3DF5" w:rsidRPr="002770A7">
        <w:rPr>
          <w:rFonts w:ascii="Arial" w:hAnsi="Arial" w:cs="Arial"/>
          <w:sz w:val="22"/>
          <w:szCs w:val="22"/>
        </w:rPr>
        <w:t xml:space="preserve">dňa 03.10.2014  </w:t>
      </w:r>
      <w:r w:rsidRPr="002770A7">
        <w:rPr>
          <w:rFonts w:ascii="Arial" w:hAnsi="Arial" w:cs="Arial"/>
          <w:sz w:val="22"/>
          <w:szCs w:val="22"/>
        </w:rPr>
        <w:t xml:space="preserve">uznesením č. </w:t>
      </w:r>
      <w:r w:rsidR="005F3DF5" w:rsidRPr="002770A7">
        <w:rPr>
          <w:rFonts w:ascii="Arial" w:hAnsi="Arial" w:cs="Arial"/>
          <w:sz w:val="22"/>
          <w:szCs w:val="22"/>
        </w:rPr>
        <w:t>6</w:t>
      </w:r>
      <w:r w:rsidR="00A91763" w:rsidRPr="002770A7">
        <w:rPr>
          <w:rFonts w:ascii="Arial" w:hAnsi="Arial" w:cs="Arial"/>
          <w:sz w:val="22"/>
          <w:szCs w:val="22"/>
        </w:rPr>
        <w:t>0</w:t>
      </w:r>
      <w:r w:rsidR="005F3DF5" w:rsidRPr="002770A7">
        <w:rPr>
          <w:rFonts w:ascii="Arial" w:hAnsi="Arial" w:cs="Arial"/>
          <w:sz w:val="22"/>
          <w:szCs w:val="22"/>
        </w:rPr>
        <w:t>/2014</w:t>
      </w:r>
      <w:r w:rsidRPr="002770A7">
        <w:rPr>
          <w:rFonts w:ascii="Arial" w:hAnsi="Arial" w:cs="Arial"/>
          <w:sz w:val="22"/>
          <w:szCs w:val="22"/>
        </w:rPr>
        <w:t xml:space="preserve"> </w:t>
      </w:r>
      <w:r w:rsidR="005F3DF5" w:rsidRPr="002770A7">
        <w:rPr>
          <w:rFonts w:ascii="Arial" w:hAnsi="Arial" w:cs="Arial"/>
          <w:sz w:val="22"/>
          <w:szCs w:val="22"/>
        </w:rPr>
        <w:t>doplnenie Akčného plánu Úradu BSK pre implementáciu Programu hospodárskeho a sociálneho rozvoja Bratislavského samosprávneho kraja na roky 2014-2020 (ďalej len Akčný plán BSK) o projekt s názvom „Stratégia znižovania energetickej náročnosti budov vo vlastníctve BSK“</w:t>
      </w:r>
      <w:r w:rsidR="009245AD" w:rsidRPr="002770A7">
        <w:rPr>
          <w:rFonts w:ascii="Arial" w:hAnsi="Arial" w:cs="Arial"/>
          <w:sz w:val="22"/>
          <w:szCs w:val="22"/>
        </w:rPr>
        <w:t xml:space="preserve"> (ďalej len </w:t>
      </w:r>
      <w:r w:rsidR="009245AD" w:rsidRPr="002770A7">
        <w:rPr>
          <w:rFonts w:ascii="Arial" w:hAnsi="Arial" w:cs="Arial"/>
          <w:i/>
          <w:sz w:val="22"/>
          <w:szCs w:val="22"/>
        </w:rPr>
        <w:t>„Stratégia“</w:t>
      </w:r>
      <w:r w:rsidR="009245AD" w:rsidRPr="002770A7">
        <w:rPr>
          <w:rFonts w:ascii="Arial" w:hAnsi="Arial" w:cs="Arial"/>
          <w:sz w:val="22"/>
          <w:szCs w:val="22"/>
        </w:rPr>
        <w:t>)</w:t>
      </w:r>
      <w:r w:rsidR="001171C4" w:rsidRPr="002770A7">
        <w:rPr>
          <w:rFonts w:ascii="Arial" w:hAnsi="Arial" w:cs="Arial"/>
          <w:sz w:val="22"/>
          <w:szCs w:val="22"/>
        </w:rPr>
        <w:t xml:space="preserve">. </w:t>
      </w:r>
      <w:r w:rsidR="009245AD" w:rsidRPr="002770A7">
        <w:rPr>
          <w:rFonts w:ascii="Arial" w:hAnsi="Arial" w:cs="Arial"/>
          <w:sz w:val="22"/>
          <w:szCs w:val="22"/>
        </w:rPr>
        <w:t xml:space="preserve">Zaradenie projektu </w:t>
      </w:r>
      <w:r w:rsidR="00FB4045" w:rsidRPr="002770A7">
        <w:rPr>
          <w:rFonts w:ascii="Arial" w:hAnsi="Arial" w:cs="Arial"/>
          <w:sz w:val="22"/>
          <w:szCs w:val="22"/>
        </w:rPr>
        <w:t>v</w:t>
      </w:r>
      <w:r w:rsidR="009245AD" w:rsidRPr="002770A7">
        <w:rPr>
          <w:rFonts w:ascii="Arial" w:hAnsi="Arial" w:cs="Arial"/>
          <w:sz w:val="22"/>
          <w:szCs w:val="22"/>
        </w:rPr>
        <w:t>niklo z poslaneckej iniciatívy a predloženia ich návrhov v oblasti zvyšovania energetickej efektivity, ktoré vyústili do potreby vypracovania uce</w:t>
      </w:r>
      <w:r w:rsidR="00DB4B7A" w:rsidRPr="002770A7">
        <w:rPr>
          <w:rFonts w:ascii="Arial" w:hAnsi="Arial" w:cs="Arial"/>
          <w:sz w:val="22"/>
          <w:szCs w:val="22"/>
        </w:rPr>
        <w:t>leného strategického dokumentu. Dokument je v súčasnosti zaradený pod č.</w:t>
      </w:r>
      <w:r w:rsidR="00FB4045" w:rsidRPr="002770A7">
        <w:rPr>
          <w:rFonts w:ascii="Arial" w:hAnsi="Arial" w:cs="Arial"/>
          <w:sz w:val="22"/>
          <w:szCs w:val="22"/>
        </w:rPr>
        <w:t>OSÚRaRP_18</w:t>
      </w:r>
      <w:r w:rsidR="00DB4B7A" w:rsidRPr="002770A7">
        <w:rPr>
          <w:rFonts w:ascii="Arial" w:hAnsi="Arial" w:cs="Arial"/>
          <w:sz w:val="22"/>
          <w:szCs w:val="22"/>
        </w:rPr>
        <w:t xml:space="preserve"> Akčného plánu BSK</w:t>
      </w:r>
      <w:r w:rsidR="00677D0F" w:rsidRPr="002770A7">
        <w:rPr>
          <w:rFonts w:ascii="Arial" w:hAnsi="Arial" w:cs="Arial"/>
          <w:sz w:val="22"/>
          <w:szCs w:val="22"/>
        </w:rPr>
        <w:t xml:space="preserve"> a v zmysle uznesenia 60/2014 bolo v </w:t>
      </w:r>
      <w:r w:rsidR="00DB4B7A" w:rsidRPr="002770A7">
        <w:rPr>
          <w:rFonts w:ascii="Arial" w:hAnsi="Arial" w:cs="Arial"/>
          <w:sz w:val="22"/>
          <w:szCs w:val="22"/>
        </w:rPr>
        <w:t xml:space="preserve">bode </w:t>
      </w:r>
      <w:r w:rsidR="00350265" w:rsidRPr="002770A7">
        <w:rPr>
          <w:rFonts w:ascii="Arial" w:hAnsi="Arial" w:cs="Arial"/>
          <w:sz w:val="22"/>
          <w:szCs w:val="22"/>
        </w:rPr>
        <w:t>A</w:t>
      </w:r>
      <w:r w:rsidR="001171C4" w:rsidRPr="002770A7">
        <w:rPr>
          <w:rFonts w:ascii="Arial" w:hAnsi="Arial" w:cs="Arial"/>
          <w:sz w:val="22"/>
          <w:szCs w:val="22"/>
        </w:rPr>
        <w:t> </w:t>
      </w:r>
      <w:r w:rsidR="00677D0F" w:rsidRPr="002770A7">
        <w:rPr>
          <w:rFonts w:ascii="Arial" w:hAnsi="Arial" w:cs="Arial"/>
          <w:sz w:val="22"/>
          <w:szCs w:val="22"/>
        </w:rPr>
        <w:t xml:space="preserve">uložené riaditeľovi </w:t>
      </w:r>
      <w:r w:rsidR="00350265" w:rsidRPr="002770A7">
        <w:rPr>
          <w:rFonts w:ascii="Arial" w:hAnsi="Arial" w:cs="Arial"/>
          <w:sz w:val="22"/>
          <w:szCs w:val="22"/>
        </w:rPr>
        <w:t>zabezpečiť</w:t>
      </w:r>
      <w:r w:rsidR="00DB4B7A" w:rsidRPr="002770A7">
        <w:rPr>
          <w:rFonts w:ascii="Arial" w:hAnsi="Arial" w:cs="Arial"/>
          <w:sz w:val="22"/>
          <w:szCs w:val="22"/>
        </w:rPr>
        <w:t xml:space="preserve"> </w:t>
      </w:r>
      <w:r w:rsidR="00350265" w:rsidRPr="002770A7">
        <w:rPr>
          <w:rFonts w:ascii="Arial" w:hAnsi="Arial" w:cs="Arial"/>
          <w:sz w:val="22"/>
          <w:szCs w:val="22"/>
        </w:rPr>
        <w:t>vy</w:t>
      </w:r>
      <w:r w:rsidR="00DB4B7A" w:rsidRPr="002770A7">
        <w:rPr>
          <w:rFonts w:ascii="Arial" w:hAnsi="Arial" w:cs="Arial"/>
          <w:sz w:val="22"/>
          <w:szCs w:val="22"/>
        </w:rPr>
        <w:t>pracovani</w:t>
      </w:r>
      <w:r w:rsidR="00350265" w:rsidRPr="002770A7">
        <w:rPr>
          <w:rFonts w:ascii="Arial" w:hAnsi="Arial" w:cs="Arial"/>
          <w:sz w:val="22"/>
          <w:szCs w:val="22"/>
        </w:rPr>
        <w:t>e</w:t>
      </w:r>
      <w:r w:rsidR="002A7864" w:rsidRPr="002770A7">
        <w:rPr>
          <w:rFonts w:ascii="Arial" w:hAnsi="Arial" w:cs="Arial"/>
          <w:sz w:val="22"/>
          <w:szCs w:val="22"/>
        </w:rPr>
        <w:t xml:space="preserve"> dokument</w:t>
      </w:r>
      <w:r w:rsidR="00DB4B7A" w:rsidRPr="002770A7">
        <w:rPr>
          <w:rFonts w:ascii="Arial" w:hAnsi="Arial" w:cs="Arial"/>
          <w:sz w:val="22"/>
          <w:szCs w:val="22"/>
        </w:rPr>
        <w:t>u</w:t>
      </w:r>
      <w:r w:rsidR="002A7864" w:rsidRPr="002770A7">
        <w:rPr>
          <w:rFonts w:ascii="Arial" w:hAnsi="Arial" w:cs="Arial"/>
          <w:sz w:val="22"/>
          <w:szCs w:val="22"/>
        </w:rPr>
        <w:t xml:space="preserve"> </w:t>
      </w:r>
      <w:r w:rsidR="00350265" w:rsidRPr="002770A7">
        <w:rPr>
          <w:rFonts w:ascii="Arial" w:hAnsi="Arial" w:cs="Arial"/>
          <w:sz w:val="22"/>
          <w:szCs w:val="22"/>
        </w:rPr>
        <w:t xml:space="preserve">do 30.4.2015 a </w:t>
      </w:r>
      <w:r w:rsidR="002A7864" w:rsidRPr="002770A7">
        <w:rPr>
          <w:rFonts w:ascii="Arial" w:hAnsi="Arial" w:cs="Arial"/>
          <w:sz w:val="22"/>
          <w:szCs w:val="22"/>
        </w:rPr>
        <w:t>v</w:t>
      </w:r>
      <w:r w:rsidR="00350265" w:rsidRPr="002770A7">
        <w:rPr>
          <w:rFonts w:ascii="Arial" w:hAnsi="Arial" w:cs="Arial"/>
          <w:sz w:val="22"/>
          <w:szCs w:val="22"/>
        </w:rPr>
        <w:t> bode B</w:t>
      </w:r>
      <w:r w:rsidR="00350265" w:rsidRPr="00750CAF">
        <w:rPr>
          <w:rFonts w:ascii="Arial" w:hAnsi="Arial" w:cs="Arial"/>
          <w:sz w:val="22"/>
          <w:szCs w:val="22"/>
        </w:rPr>
        <w:t xml:space="preserve"> </w:t>
      </w:r>
      <w:r w:rsidR="00350265" w:rsidRPr="002770A7">
        <w:rPr>
          <w:rFonts w:ascii="Arial" w:hAnsi="Arial" w:cs="Arial"/>
          <w:sz w:val="22"/>
          <w:szCs w:val="22"/>
        </w:rPr>
        <w:t xml:space="preserve">predložiť na rokovanie </w:t>
      </w:r>
      <w:r w:rsidR="00750CAF" w:rsidRPr="002770A7">
        <w:rPr>
          <w:rFonts w:ascii="Arial" w:hAnsi="Arial" w:cs="Arial"/>
          <w:sz w:val="22"/>
          <w:szCs w:val="22"/>
        </w:rPr>
        <w:t xml:space="preserve">zastupiteľstva </w:t>
      </w:r>
      <w:r w:rsidR="007C7894">
        <w:rPr>
          <w:rFonts w:ascii="Arial" w:hAnsi="Arial" w:cs="Arial"/>
          <w:sz w:val="22"/>
          <w:szCs w:val="22"/>
        </w:rPr>
        <w:t>BSK</w:t>
      </w:r>
      <w:r w:rsidR="00750CAF" w:rsidRPr="002770A7">
        <w:rPr>
          <w:rFonts w:ascii="Arial" w:hAnsi="Arial" w:cs="Arial"/>
          <w:sz w:val="22"/>
          <w:szCs w:val="22"/>
        </w:rPr>
        <w:t xml:space="preserve"> v termíne do 30.6.2015.</w:t>
      </w:r>
      <w:r w:rsidR="00750CAF">
        <w:rPr>
          <w:rFonts w:ascii="Arial" w:hAnsi="Arial" w:cs="Arial"/>
          <w:sz w:val="22"/>
          <w:szCs w:val="22"/>
        </w:rPr>
        <w:t xml:space="preserve"> </w:t>
      </w:r>
    </w:p>
    <w:p w:rsidR="001171C4" w:rsidRPr="002770A7" w:rsidRDefault="00750CAF" w:rsidP="00750CA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 začatím procesu spracovania dokumentu bolo vyžiadané usmernenie z M</w:t>
      </w:r>
      <w:r w:rsidRPr="00750CAF">
        <w:rPr>
          <w:rFonts w:ascii="Arial" w:hAnsi="Arial" w:cs="Arial"/>
          <w:sz w:val="22"/>
          <w:szCs w:val="22"/>
        </w:rPr>
        <w:t>inisterstv</w:t>
      </w:r>
      <w:r>
        <w:rPr>
          <w:rFonts w:ascii="Arial" w:hAnsi="Arial" w:cs="Arial"/>
          <w:sz w:val="22"/>
          <w:szCs w:val="22"/>
        </w:rPr>
        <w:t xml:space="preserve">a </w:t>
      </w:r>
      <w:r w:rsidRPr="00750CAF">
        <w:rPr>
          <w:rFonts w:ascii="Arial" w:hAnsi="Arial" w:cs="Arial"/>
          <w:sz w:val="22"/>
          <w:szCs w:val="22"/>
        </w:rPr>
        <w:t>životného</w:t>
      </w:r>
      <w:r>
        <w:rPr>
          <w:rFonts w:ascii="Arial" w:hAnsi="Arial" w:cs="Arial"/>
          <w:sz w:val="22"/>
          <w:szCs w:val="22"/>
        </w:rPr>
        <w:t xml:space="preserve"> </w:t>
      </w:r>
      <w:r w:rsidRPr="00750CAF">
        <w:rPr>
          <w:rFonts w:ascii="Arial" w:hAnsi="Arial" w:cs="Arial"/>
          <w:sz w:val="22"/>
          <w:szCs w:val="22"/>
        </w:rPr>
        <w:t>prostredia</w:t>
      </w:r>
      <w:r>
        <w:rPr>
          <w:rFonts w:ascii="Arial" w:hAnsi="Arial" w:cs="Arial"/>
          <w:sz w:val="22"/>
          <w:szCs w:val="22"/>
        </w:rPr>
        <w:t xml:space="preserve"> SR, o</w:t>
      </w:r>
      <w:r w:rsidRPr="00750CAF">
        <w:rPr>
          <w:rFonts w:ascii="Arial" w:hAnsi="Arial" w:cs="Arial"/>
          <w:sz w:val="22"/>
          <w:szCs w:val="22"/>
        </w:rPr>
        <w:t>dbor</w:t>
      </w:r>
      <w:r>
        <w:rPr>
          <w:rFonts w:ascii="Arial" w:hAnsi="Arial" w:cs="Arial"/>
          <w:sz w:val="22"/>
          <w:szCs w:val="22"/>
        </w:rPr>
        <w:t>u</w:t>
      </w:r>
      <w:r w:rsidRPr="00750CAF">
        <w:rPr>
          <w:rFonts w:ascii="Arial" w:hAnsi="Arial" w:cs="Arial"/>
          <w:sz w:val="22"/>
          <w:szCs w:val="22"/>
        </w:rPr>
        <w:t xml:space="preserve"> environmentálneho posudzovania (EIA/SEA)</w:t>
      </w:r>
      <w:r>
        <w:rPr>
          <w:rFonts w:ascii="Arial" w:hAnsi="Arial" w:cs="Arial"/>
          <w:sz w:val="22"/>
          <w:szCs w:val="22"/>
        </w:rPr>
        <w:t xml:space="preserve"> o povinnosti jeho posudzovania </w:t>
      </w:r>
      <w:r w:rsidRPr="00750CAF">
        <w:rPr>
          <w:rFonts w:ascii="Arial" w:hAnsi="Arial" w:cs="Arial"/>
          <w:sz w:val="22"/>
          <w:szCs w:val="22"/>
        </w:rPr>
        <w:t xml:space="preserve">podľa </w:t>
      </w:r>
      <w:r>
        <w:rPr>
          <w:rFonts w:ascii="Arial" w:hAnsi="Arial" w:cs="Arial"/>
          <w:sz w:val="22"/>
          <w:szCs w:val="22"/>
        </w:rPr>
        <w:t>Z</w:t>
      </w:r>
      <w:r w:rsidRPr="00750CAF">
        <w:rPr>
          <w:rFonts w:ascii="Arial" w:hAnsi="Arial" w:cs="Arial"/>
          <w:sz w:val="22"/>
          <w:szCs w:val="22"/>
        </w:rPr>
        <w:t>ákona č. 24/2006 Z. z.</w:t>
      </w:r>
      <w:r w:rsidR="009245AD" w:rsidRPr="002770A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 w:rsidRPr="00750CAF">
        <w:rPr>
          <w:rFonts w:ascii="Arial" w:hAnsi="Arial" w:cs="Arial"/>
          <w:sz w:val="22"/>
          <w:szCs w:val="22"/>
        </w:rPr>
        <w:t>posudzovaní vplyvov na životné prostredie a o zmene a doplnení niektorých zákonov</w:t>
      </w:r>
      <w:r>
        <w:rPr>
          <w:rFonts w:ascii="Arial" w:hAnsi="Arial" w:cs="Arial"/>
          <w:sz w:val="22"/>
          <w:szCs w:val="22"/>
        </w:rPr>
        <w:t xml:space="preserve">, pričom ich stanovisko bolo, že dokument nepodlieha povinnému posudzovaniu SEA.  </w:t>
      </w:r>
    </w:p>
    <w:p w:rsidR="001171C4" w:rsidRPr="002770A7" w:rsidRDefault="001171C4" w:rsidP="00B4731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F3DF5" w:rsidRPr="002770A7" w:rsidRDefault="001171C4" w:rsidP="00B4731C">
      <w:pPr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2770A7">
        <w:rPr>
          <w:rFonts w:ascii="Arial" w:hAnsi="Arial" w:cs="Arial"/>
          <w:b/>
          <w:sz w:val="22"/>
          <w:szCs w:val="22"/>
        </w:rPr>
        <w:t xml:space="preserve">Úlohou tohto materiálu je </w:t>
      </w:r>
      <w:r w:rsidR="0075398D" w:rsidRPr="002770A7">
        <w:rPr>
          <w:rFonts w:ascii="Arial" w:hAnsi="Arial" w:cs="Arial"/>
          <w:b/>
          <w:sz w:val="22"/>
          <w:szCs w:val="22"/>
        </w:rPr>
        <w:t>informovať o</w:t>
      </w:r>
      <w:r w:rsidR="002A7864" w:rsidRPr="002770A7">
        <w:rPr>
          <w:rFonts w:ascii="Arial" w:hAnsi="Arial" w:cs="Arial"/>
          <w:b/>
          <w:sz w:val="22"/>
          <w:szCs w:val="22"/>
        </w:rPr>
        <w:t> spracovanom dokumente</w:t>
      </w:r>
      <w:r w:rsidR="00405CA4" w:rsidRPr="002770A7">
        <w:rPr>
          <w:rFonts w:ascii="Arial" w:hAnsi="Arial" w:cs="Arial"/>
          <w:b/>
          <w:sz w:val="22"/>
          <w:szCs w:val="22"/>
        </w:rPr>
        <w:t xml:space="preserve">, ktorý </w:t>
      </w:r>
      <w:r w:rsidRPr="002770A7">
        <w:rPr>
          <w:rFonts w:ascii="Arial" w:hAnsi="Arial" w:cs="Arial"/>
          <w:b/>
          <w:sz w:val="22"/>
          <w:szCs w:val="22"/>
        </w:rPr>
        <w:t>poskyt</w:t>
      </w:r>
      <w:r w:rsidR="00405CA4" w:rsidRPr="002770A7">
        <w:rPr>
          <w:rFonts w:ascii="Arial" w:hAnsi="Arial" w:cs="Arial"/>
          <w:b/>
          <w:sz w:val="22"/>
          <w:szCs w:val="22"/>
        </w:rPr>
        <w:t xml:space="preserve">uje </w:t>
      </w:r>
      <w:r w:rsidRPr="002770A7">
        <w:rPr>
          <w:rFonts w:ascii="Arial" w:hAnsi="Arial" w:cs="Arial"/>
          <w:b/>
          <w:sz w:val="22"/>
          <w:szCs w:val="22"/>
        </w:rPr>
        <w:t>prehľad o</w:t>
      </w:r>
      <w:r w:rsidR="00DB4B7A" w:rsidRPr="002770A7">
        <w:rPr>
          <w:rFonts w:ascii="Arial" w:hAnsi="Arial" w:cs="Arial"/>
          <w:b/>
          <w:sz w:val="22"/>
          <w:szCs w:val="22"/>
        </w:rPr>
        <w:t> možnostiach dosahovania energetických úspor pre budovy BSK, finančných nástrojoch na ich realizáciu a</w:t>
      </w:r>
      <w:r w:rsidR="00405CA4" w:rsidRPr="002770A7">
        <w:rPr>
          <w:rFonts w:ascii="Arial" w:hAnsi="Arial" w:cs="Arial"/>
          <w:b/>
          <w:sz w:val="22"/>
          <w:szCs w:val="22"/>
        </w:rPr>
        <w:t> na</w:t>
      </w:r>
      <w:r w:rsidR="00DB4B7A" w:rsidRPr="002770A7">
        <w:rPr>
          <w:rFonts w:ascii="Arial" w:hAnsi="Arial" w:cs="Arial"/>
          <w:b/>
          <w:sz w:val="22"/>
          <w:szCs w:val="22"/>
        </w:rPr>
        <w:t>vrh</w:t>
      </w:r>
      <w:r w:rsidR="00405CA4" w:rsidRPr="002770A7">
        <w:rPr>
          <w:rFonts w:ascii="Arial" w:hAnsi="Arial" w:cs="Arial"/>
          <w:b/>
          <w:sz w:val="22"/>
          <w:szCs w:val="22"/>
        </w:rPr>
        <w:t xml:space="preserve">uje dve varianty </w:t>
      </w:r>
      <w:r w:rsidR="00DB4B7A" w:rsidRPr="002770A7">
        <w:rPr>
          <w:rFonts w:ascii="Arial" w:hAnsi="Arial" w:cs="Arial"/>
          <w:b/>
          <w:sz w:val="22"/>
          <w:szCs w:val="22"/>
        </w:rPr>
        <w:t>akčn</w:t>
      </w:r>
      <w:r w:rsidR="00405CA4" w:rsidRPr="002770A7">
        <w:rPr>
          <w:rFonts w:ascii="Arial" w:hAnsi="Arial" w:cs="Arial"/>
          <w:b/>
          <w:sz w:val="22"/>
          <w:szCs w:val="22"/>
        </w:rPr>
        <w:t xml:space="preserve">ého </w:t>
      </w:r>
      <w:r w:rsidR="00DB4B7A" w:rsidRPr="002770A7">
        <w:rPr>
          <w:rFonts w:ascii="Arial" w:hAnsi="Arial" w:cs="Arial"/>
          <w:b/>
          <w:sz w:val="22"/>
          <w:szCs w:val="22"/>
        </w:rPr>
        <w:t>plán</w:t>
      </w:r>
      <w:r w:rsidR="00405CA4" w:rsidRPr="002770A7">
        <w:rPr>
          <w:rFonts w:ascii="Arial" w:hAnsi="Arial" w:cs="Arial"/>
          <w:b/>
          <w:sz w:val="22"/>
          <w:szCs w:val="22"/>
        </w:rPr>
        <w:t>u</w:t>
      </w:r>
      <w:r w:rsidR="00DB4B7A" w:rsidRPr="002770A7">
        <w:rPr>
          <w:rFonts w:ascii="Arial" w:hAnsi="Arial" w:cs="Arial"/>
          <w:b/>
          <w:sz w:val="22"/>
          <w:szCs w:val="22"/>
        </w:rPr>
        <w:t xml:space="preserve"> pre realizáciu týchto opatrení</w:t>
      </w:r>
      <w:r w:rsidRPr="002770A7">
        <w:rPr>
          <w:rFonts w:ascii="Arial" w:hAnsi="Arial" w:cs="Arial"/>
          <w:b/>
          <w:sz w:val="22"/>
          <w:szCs w:val="22"/>
        </w:rPr>
        <w:t>.</w:t>
      </w:r>
      <w:r w:rsidR="00BB14E8" w:rsidRPr="002770A7">
        <w:rPr>
          <w:rFonts w:ascii="Arial" w:hAnsi="Arial" w:cs="Arial"/>
          <w:b/>
          <w:sz w:val="22"/>
          <w:szCs w:val="22"/>
        </w:rPr>
        <w:t xml:space="preserve"> Na základe spracovan</w:t>
      </w:r>
      <w:r w:rsidR="00350265" w:rsidRPr="002770A7">
        <w:rPr>
          <w:rFonts w:ascii="Arial" w:hAnsi="Arial" w:cs="Arial"/>
          <w:b/>
          <w:sz w:val="22"/>
          <w:szCs w:val="22"/>
        </w:rPr>
        <w:t xml:space="preserve">ej Stratégie </w:t>
      </w:r>
      <w:r w:rsidR="00BB14E8" w:rsidRPr="002770A7">
        <w:rPr>
          <w:rFonts w:ascii="Arial" w:hAnsi="Arial" w:cs="Arial"/>
          <w:b/>
          <w:sz w:val="22"/>
          <w:szCs w:val="22"/>
        </w:rPr>
        <w:t>a uvedených odporúčaní v</w:t>
      </w:r>
      <w:r w:rsidR="00350265" w:rsidRPr="002770A7">
        <w:rPr>
          <w:rFonts w:ascii="Arial" w:hAnsi="Arial" w:cs="Arial"/>
          <w:b/>
          <w:sz w:val="22"/>
          <w:szCs w:val="22"/>
        </w:rPr>
        <w:t xml:space="preserve"> nej </w:t>
      </w:r>
      <w:r w:rsidR="00BB14E8" w:rsidRPr="002770A7">
        <w:rPr>
          <w:rFonts w:ascii="Arial" w:hAnsi="Arial" w:cs="Arial"/>
          <w:b/>
          <w:sz w:val="22"/>
          <w:szCs w:val="22"/>
        </w:rPr>
        <w:t>je</w:t>
      </w:r>
      <w:r w:rsidR="00350265" w:rsidRPr="002770A7">
        <w:rPr>
          <w:rFonts w:ascii="Arial" w:hAnsi="Arial" w:cs="Arial"/>
          <w:b/>
          <w:sz w:val="22"/>
          <w:szCs w:val="22"/>
        </w:rPr>
        <w:t xml:space="preserve"> potrebné</w:t>
      </w:r>
      <w:r w:rsidR="00BB14E8" w:rsidRPr="002770A7">
        <w:rPr>
          <w:rFonts w:ascii="Arial" w:hAnsi="Arial" w:cs="Arial"/>
          <w:b/>
          <w:sz w:val="22"/>
          <w:szCs w:val="22"/>
        </w:rPr>
        <w:t xml:space="preserve"> v ďalšom kroku zvoliť výber opatrení, ktoré budú realizované, rovnako</w:t>
      </w:r>
      <w:r w:rsidR="00350265" w:rsidRPr="002770A7">
        <w:rPr>
          <w:rFonts w:ascii="Arial" w:hAnsi="Arial" w:cs="Arial"/>
          <w:b/>
          <w:sz w:val="22"/>
          <w:szCs w:val="22"/>
        </w:rPr>
        <w:t>, ak</w:t>
      </w:r>
      <w:r w:rsidR="00BB14E8" w:rsidRPr="002770A7">
        <w:rPr>
          <w:rFonts w:ascii="Arial" w:hAnsi="Arial" w:cs="Arial"/>
          <w:b/>
          <w:sz w:val="22"/>
          <w:szCs w:val="22"/>
        </w:rPr>
        <w:t xml:space="preserve">o </w:t>
      </w:r>
      <w:r w:rsidR="00350265" w:rsidRPr="002770A7">
        <w:rPr>
          <w:rFonts w:ascii="Arial" w:hAnsi="Arial" w:cs="Arial"/>
          <w:b/>
          <w:sz w:val="22"/>
          <w:szCs w:val="22"/>
        </w:rPr>
        <w:t xml:space="preserve">aj priradiť k ním </w:t>
      </w:r>
      <w:r w:rsidR="00BB14E8" w:rsidRPr="002770A7">
        <w:rPr>
          <w:rFonts w:ascii="Arial" w:hAnsi="Arial" w:cs="Arial"/>
          <w:b/>
          <w:sz w:val="22"/>
          <w:szCs w:val="22"/>
        </w:rPr>
        <w:t xml:space="preserve">nositeľa týchto opatrení.  </w:t>
      </w:r>
      <w:r w:rsidRPr="002770A7">
        <w:rPr>
          <w:rFonts w:ascii="Arial" w:hAnsi="Arial" w:cs="Arial"/>
          <w:b/>
          <w:sz w:val="22"/>
          <w:szCs w:val="22"/>
        </w:rPr>
        <w:t xml:space="preserve"> </w:t>
      </w:r>
      <w:r w:rsidR="00A9578F" w:rsidRPr="002770A7">
        <w:rPr>
          <w:rFonts w:ascii="Arial" w:hAnsi="Arial" w:cs="Arial"/>
          <w:b/>
          <w:sz w:val="22"/>
          <w:szCs w:val="22"/>
        </w:rPr>
        <w:t xml:space="preserve"> </w:t>
      </w:r>
    </w:p>
    <w:p w:rsidR="005F3DF5" w:rsidRDefault="005F3DF5" w:rsidP="00B4731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C7894" w:rsidRDefault="007C7894" w:rsidP="00B4731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C7894" w:rsidRPr="002770A7" w:rsidRDefault="007C7894" w:rsidP="00B4731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B06A5" w:rsidRPr="002770A7" w:rsidRDefault="004B06A5" w:rsidP="00B4731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171C4" w:rsidRPr="002770A7" w:rsidRDefault="004B06A5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770A7">
        <w:rPr>
          <w:rFonts w:ascii="Arial" w:hAnsi="Arial" w:cs="Arial"/>
          <w:b/>
          <w:sz w:val="22"/>
          <w:szCs w:val="22"/>
        </w:rPr>
        <w:t>ŠIRŠIE SÚVISLOSTI</w:t>
      </w:r>
      <w:r w:rsidR="00FF6A0B" w:rsidRPr="002770A7">
        <w:rPr>
          <w:rFonts w:ascii="Arial" w:hAnsi="Arial" w:cs="Arial"/>
          <w:b/>
          <w:sz w:val="22"/>
          <w:szCs w:val="22"/>
        </w:rPr>
        <w:t xml:space="preserve"> K TÉME DOSAHOVANIA ENERGETICKÝCH ÚSPOR</w:t>
      </w:r>
      <w:r w:rsidRPr="002770A7">
        <w:rPr>
          <w:rFonts w:ascii="Arial" w:hAnsi="Arial" w:cs="Arial"/>
          <w:b/>
          <w:sz w:val="22"/>
          <w:szCs w:val="22"/>
        </w:rPr>
        <w:t xml:space="preserve"> </w:t>
      </w:r>
    </w:p>
    <w:p w:rsidR="001171C4" w:rsidRPr="002770A7" w:rsidRDefault="001171C4" w:rsidP="00B4731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856ED" w:rsidRPr="002770A7" w:rsidRDefault="00083D6F" w:rsidP="00B4731C">
      <w:pPr>
        <w:spacing w:line="276" w:lineRule="auto"/>
        <w:ind w:firstLine="708"/>
        <w:jc w:val="both"/>
        <w:rPr>
          <w:rFonts w:ascii="Arial" w:hAnsi="Arial" w:cs="Arial"/>
        </w:rPr>
      </w:pPr>
      <w:r w:rsidRPr="002770A7">
        <w:rPr>
          <w:rFonts w:ascii="Arial" w:hAnsi="Arial" w:cs="Arial"/>
          <w:sz w:val="22"/>
          <w:szCs w:val="22"/>
        </w:rPr>
        <w:t xml:space="preserve">Znižovanie spotreby energie a odstránenie plytvania energiou nadobúdajú pre EÚ čoraz väčší význam. </w:t>
      </w:r>
      <w:r w:rsidR="00D53AFE" w:rsidRPr="002770A7">
        <w:rPr>
          <w:rFonts w:ascii="Arial" w:hAnsi="Arial" w:cs="Arial"/>
          <w:sz w:val="22"/>
          <w:szCs w:val="22"/>
        </w:rPr>
        <w:t>Úrad B</w:t>
      </w:r>
      <w:r w:rsidR="00A91763" w:rsidRPr="002770A7">
        <w:rPr>
          <w:rFonts w:ascii="Arial" w:hAnsi="Arial" w:cs="Arial"/>
          <w:sz w:val="22"/>
          <w:szCs w:val="22"/>
        </w:rPr>
        <w:t xml:space="preserve">SK </w:t>
      </w:r>
      <w:r w:rsidR="00D53AFE" w:rsidRPr="002770A7">
        <w:rPr>
          <w:rFonts w:ascii="Arial" w:hAnsi="Arial" w:cs="Arial"/>
          <w:sz w:val="22"/>
          <w:szCs w:val="22"/>
        </w:rPr>
        <w:t>chce prostredníctvom informačných ale aj praktických krokov naštartovať dlhodobý a udržateľný energetický rozvoj v</w:t>
      </w:r>
      <w:r w:rsidRPr="002770A7">
        <w:rPr>
          <w:rFonts w:ascii="Arial" w:hAnsi="Arial" w:cs="Arial"/>
          <w:sz w:val="22"/>
          <w:szCs w:val="22"/>
        </w:rPr>
        <w:t> </w:t>
      </w:r>
      <w:r w:rsidR="00D53AFE" w:rsidRPr="002770A7">
        <w:rPr>
          <w:rFonts w:ascii="Arial" w:hAnsi="Arial" w:cs="Arial"/>
          <w:sz w:val="22"/>
          <w:szCs w:val="22"/>
        </w:rPr>
        <w:t>regióne</w:t>
      </w:r>
      <w:r w:rsidRPr="002770A7">
        <w:rPr>
          <w:rFonts w:ascii="Arial" w:hAnsi="Arial" w:cs="Arial"/>
          <w:sz w:val="22"/>
          <w:szCs w:val="22"/>
        </w:rPr>
        <w:t xml:space="preserve"> s cieľom znížiť energetickú náročnosť a dosiahnuť energetické úspory v kraji. Tieto záväzky vyplývajú </w:t>
      </w:r>
      <w:r w:rsidR="00A91763" w:rsidRPr="002770A7">
        <w:rPr>
          <w:rFonts w:ascii="Arial" w:hAnsi="Arial" w:cs="Arial"/>
          <w:sz w:val="22"/>
          <w:szCs w:val="22"/>
        </w:rPr>
        <w:t xml:space="preserve">BSK </w:t>
      </w:r>
      <w:r w:rsidRPr="002770A7">
        <w:rPr>
          <w:rFonts w:ascii="Arial" w:hAnsi="Arial" w:cs="Arial"/>
          <w:sz w:val="22"/>
          <w:szCs w:val="22"/>
        </w:rPr>
        <w:t xml:space="preserve">aj z celospoločenskej európskej iniciatívy, ku ktorej pristúpil v rámci Dohovoru primátorov a starostov </w:t>
      </w:r>
      <w:r w:rsidR="00A91763" w:rsidRPr="002770A7">
        <w:rPr>
          <w:rFonts w:ascii="Arial" w:hAnsi="Arial" w:cs="Arial"/>
          <w:sz w:val="22"/>
          <w:szCs w:val="22"/>
        </w:rPr>
        <w:t>uznesením č.58/2013 zo dňa 20.9.2013</w:t>
      </w:r>
      <w:r w:rsidRPr="002770A7">
        <w:rPr>
          <w:rFonts w:ascii="Arial" w:hAnsi="Arial" w:cs="Arial"/>
          <w:sz w:val="22"/>
          <w:szCs w:val="22"/>
        </w:rPr>
        <w:t xml:space="preserve">. Cieľom je zlepšiť kvalitu života obyvateľov princípom „3x20“ do roku 2020, čo znamená zníženie emisií CO2 o 20 percent, zvýšenie energetickej efektívnosti o 20 percent a využitie obnoviteľných zdrojov energie o 20 percent.   </w:t>
      </w:r>
      <w:r w:rsidR="00D53AFE" w:rsidRPr="002770A7">
        <w:rPr>
          <w:rFonts w:ascii="Arial" w:hAnsi="Arial" w:cs="Arial"/>
        </w:rPr>
        <w:tab/>
      </w:r>
    </w:p>
    <w:p w:rsidR="00B4731C" w:rsidRDefault="00E347AB" w:rsidP="00B4731C">
      <w:pPr>
        <w:pStyle w:val="Default"/>
        <w:spacing w:line="276" w:lineRule="auto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2770A7">
        <w:rPr>
          <w:rFonts w:ascii="Arial" w:hAnsi="Arial" w:cs="Arial"/>
          <w:color w:val="auto"/>
          <w:sz w:val="22"/>
          <w:szCs w:val="22"/>
        </w:rPr>
        <w:t>B</w:t>
      </w:r>
      <w:r w:rsidR="00A91763" w:rsidRPr="002770A7">
        <w:rPr>
          <w:rFonts w:ascii="Arial" w:hAnsi="Arial" w:cs="Arial"/>
          <w:color w:val="auto"/>
          <w:sz w:val="22"/>
          <w:szCs w:val="22"/>
        </w:rPr>
        <w:t xml:space="preserve">SK </w:t>
      </w:r>
      <w:r w:rsidR="00D53AFE" w:rsidRPr="002770A7">
        <w:rPr>
          <w:rFonts w:ascii="Arial" w:hAnsi="Arial" w:cs="Arial"/>
          <w:color w:val="auto"/>
          <w:sz w:val="22"/>
          <w:szCs w:val="22"/>
        </w:rPr>
        <w:t>ako zriaďovateľ zariadení v oblasti sociálnej starostlivosti, školských zariadení, kultúrnych ustanovizní a zdravotníckych zariadení pristupuje</w:t>
      </w:r>
      <w:r w:rsidR="00240176" w:rsidRPr="002770A7">
        <w:rPr>
          <w:rFonts w:ascii="Arial" w:hAnsi="Arial" w:cs="Arial"/>
          <w:color w:val="auto"/>
          <w:sz w:val="22"/>
          <w:szCs w:val="22"/>
        </w:rPr>
        <w:t xml:space="preserve"> </w:t>
      </w:r>
      <w:r w:rsidR="00D53AFE" w:rsidRPr="002770A7">
        <w:rPr>
          <w:rFonts w:ascii="Arial" w:hAnsi="Arial" w:cs="Arial"/>
          <w:color w:val="auto"/>
          <w:sz w:val="22"/>
          <w:szCs w:val="22"/>
        </w:rPr>
        <w:t>zodpovedne k riešeniu problematiky znižovania energetickej náročnosti, zvyšovania energetickej efektívnosti a znižovania environmentálneho zaťaženia životného prostredia. Aj z toho dôvodu chce využiť ponúkajúce sa možnosti a vyhľadáva nové zdroje vedúce k postupnému zlepšovaniu situácie a napĺňaniu cieľov stanovených</w:t>
      </w:r>
      <w:r w:rsidR="00DA618C" w:rsidRPr="002770A7">
        <w:rPr>
          <w:rFonts w:ascii="Arial" w:hAnsi="Arial" w:cs="Arial"/>
          <w:color w:val="auto"/>
          <w:sz w:val="22"/>
          <w:szCs w:val="22"/>
        </w:rPr>
        <w:t xml:space="preserve"> na </w:t>
      </w:r>
      <w:r w:rsidR="00D53AFE" w:rsidRPr="002770A7">
        <w:rPr>
          <w:rFonts w:ascii="Arial" w:hAnsi="Arial" w:cs="Arial"/>
          <w:color w:val="auto"/>
          <w:sz w:val="22"/>
          <w:szCs w:val="22"/>
        </w:rPr>
        <w:t>regionáln</w:t>
      </w:r>
      <w:r w:rsidR="00DA618C" w:rsidRPr="002770A7">
        <w:rPr>
          <w:rFonts w:ascii="Arial" w:hAnsi="Arial" w:cs="Arial"/>
          <w:color w:val="auto"/>
          <w:sz w:val="22"/>
          <w:szCs w:val="22"/>
        </w:rPr>
        <w:t>ej strategickej úrovni v</w:t>
      </w:r>
      <w:r w:rsidR="004B06A5" w:rsidRPr="002770A7">
        <w:rPr>
          <w:rFonts w:ascii="Arial" w:hAnsi="Arial" w:cs="Arial"/>
          <w:color w:val="auto"/>
          <w:sz w:val="22"/>
          <w:szCs w:val="22"/>
        </w:rPr>
        <w:t xml:space="preserve"> dokumente </w:t>
      </w:r>
      <w:r w:rsidR="00A91763" w:rsidRPr="002770A7">
        <w:rPr>
          <w:rFonts w:ascii="Arial" w:hAnsi="Arial" w:cs="Arial"/>
          <w:color w:val="auto"/>
          <w:sz w:val="22"/>
          <w:szCs w:val="22"/>
        </w:rPr>
        <w:t>Programu hospodárskeho a sociálneho rozvoja</w:t>
      </w:r>
      <w:r w:rsidR="003E3A4D" w:rsidRPr="002770A7">
        <w:rPr>
          <w:rFonts w:ascii="Arial" w:hAnsi="Arial" w:cs="Arial"/>
          <w:color w:val="auto"/>
          <w:sz w:val="22"/>
          <w:szCs w:val="22"/>
        </w:rPr>
        <w:t xml:space="preserve"> </w:t>
      </w:r>
      <w:r w:rsidR="00350265" w:rsidRPr="002770A7">
        <w:rPr>
          <w:rFonts w:ascii="Arial" w:hAnsi="Arial" w:cs="Arial"/>
          <w:color w:val="auto"/>
          <w:sz w:val="22"/>
          <w:szCs w:val="22"/>
        </w:rPr>
        <w:t xml:space="preserve">BSK </w:t>
      </w:r>
      <w:r w:rsidR="003E3A4D" w:rsidRPr="002770A7">
        <w:rPr>
          <w:rFonts w:ascii="Arial" w:hAnsi="Arial" w:cs="Arial"/>
          <w:color w:val="auto"/>
          <w:sz w:val="22"/>
          <w:szCs w:val="22"/>
        </w:rPr>
        <w:t>(PHSR</w:t>
      </w:r>
      <w:r w:rsidR="00350265" w:rsidRPr="002770A7">
        <w:rPr>
          <w:rFonts w:ascii="Arial" w:hAnsi="Arial" w:cs="Arial"/>
          <w:color w:val="auto"/>
          <w:sz w:val="22"/>
          <w:szCs w:val="22"/>
        </w:rPr>
        <w:t xml:space="preserve"> BSK 2014 -2020</w:t>
      </w:r>
      <w:r w:rsidR="003E3A4D" w:rsidRPr="002770A7">
        <w:rPr>
          <w:rFonts w:ascii="Arial" w:hAnsi="Arial" w:cs="Arial"/>
          <w:color w:val="auto"/>
          <w:sz w:val="22"/>
          <w:szCs w:val="22"/>
        </w:rPr>
        <w:t>)</w:t>
      </w:r>
      <w:r w:rsidR="004B06A5" w:rsidRPr="002770A7">
        <w:rPr>
          <w:rFonts w:ascii="Arial" w:hAnsi="Arial" w:cs="Arial"/>
          <w:color w:val="auto"/>
          <w:sz w:val="22"/>
          <w:szCs w:val="22"/>
        </w:rPr>
        <w:t xml:space="preserve"> </w:t>
      </w:r>
      <w:r w:rsidR="009621D8" w:rsidRPr="002770A7">
        <w:rPr>
          <w:rFonts w:ascii="Arial" w:hAnsi="Arial" w:cs="Arial"/>
          <w:color w:val="auto"/>
          <w:sz w:val="22"/>
          <w:szCs w:val="22"/>
        </w:rPr>
        <w:t>– v rámci strategického cieľov:</w:t>
      </w:r>
      <w:r w:rsidR="00E95759" w:rsidRPr="002770A7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9621D8" w:rsidRPr="002770A7" w:rsidRDefault="00E95759" w:rsidP="00B4731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770A7">
        <w:rPr>
          <w:rFonts w:ascii="Arial" w:hAnsi="Arial" w:cs="Arial"/>
          <w:color w:val="auto"/>
          <w:sz w:val="22"/>
          <w:szCs w:val="22"/>
        </w:rPr>
        <w:lastRenderedPageBreak/>
        <w:t>„Znižovanie energetickej náročnosti“</w:t>
      </w:r>
      <w:r w:rsidR="00F149CF" w:rsidRPr="002770A7">
        <w:rPr>
          <w:rFonts w:ascii="Arial" w:hAnsi="Arial" w:cs="Arial"/>
          <w:color w:val="auto"/>
          <w:sz w:val="22"/>
          <w:szCs w:val="22"/>
        </w:rPr>
        <w:t xml:space="preserve"> -</w:t>
      </w:r>
      <w:r w:rsidRPr="002770A7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9621D8" w:rsidRPr="002770A7" w:rsidRDefault="009621D8" w:rsidP="00B4731C">
      <w:pPr>
        <w:pStyle w:val="Default"/>
        <w:spacing w:line="276" w:lineRule="auto"/>
        <w:ind w:left="708"/>
        <w:jc w:val="both"/>
        <w:rPr>
          <w:rFonts w:ascii="Arial" w:hAnsi="Arial" w:cs="Arial"/>
          <w:color w:val="auto"/>
          <w:sz w:val="22"/>
          <w:szCs w:val="22"/>
        </w:rPr>
      </w:pPr>
      <w:r w:rsidRPr="002770A7">
        <w:rPr>
          <w:rFonts w:ascii="Arial" w:hAnsi="Arial" w:cs="Arial"/>
          <w:color w:val="auto"/>
          <w:sz w:val="22"/>
          <w:szCs w:val="22"/>
        </w:rPr>
        <w:t>OP</w:t>
      </w:r>
      <w:r w:rsidR="00E95759" w:rsidRPr="002770A7">
        <w:rPr>
          <w:rFonts w:ascii="Arial" w:hAnsi="Arial" w:cs="Arial"/>
          <w:color w:val="auto"/>
          <w:sz w:val="22"/>
          <w:szCs w:val="22"/>
        </w:rPr>
        <w:t xml:space="preserve"> 4</w:t>
      </w:r>
      <w:r w:rsidR="0029033E" w:rsidRPr="002770A7">
        <w:rPr>
          <w:rFonts w:ascii="Arial" w:hAnsi="Arial" w:cs="Arial"/>
          <w:color w:val="auto"/>
          <w:sz w:val="22"/>
          <w:szCs w:val="22"/>
        </w:rPr>
        <w:t>.</w:t>
      </w:r>
      <w:r w:rsidR="00E95759" w:rsidRPr="002770A7">
        <w:rPr>
          <w:rFonts w:ascii="Arial" w:hAnsi="Arial" w:cs="Arial"/>
          <w:color w:val="auto"/>
          <w:sz w:val="22"/>
          <w:szCs w:val="22"/>
        </w:rPr>
        <w:t xml:space="preserve"> – „Podpora prechodu na </w:t>
      </w:r>
      <w:proofErr w:type="spellStart"/>
      <w:r w:rsidR="00E95759" w:rsidRPr="002770A7">
        <w:rPr>
          <w:rFonts w:ascii="Arial" w:hAnsi="Arial" w:cs="Arial"/>
          <w:color w:val="auto"/>
          <w:sz w:val="22"/>
          <w:szCs w:val="22"/>
        </w:rPr>
        <w:t>nízkouhlíkové</w:t>
      </w:r>
      <w:proofErr w:type="spellEnd"/>
      <w:r w:rsidR="00E95759" w:rsidRPr="002770A7">
        <w:rPr>
          <w:rFonts w:ascii="Arial" w:hAnsi="Arial" w:cs="Arial"/>
          <w:color w:val="auto"/>
          <w:sz w:val="22"/>
          <w:szCs w:val="22"/>
        </w:rPr>
        <w:t xml:space="preserve"> hospodárstvo vo vš</w:t>
      </w:r>
      <w:r w:rsidRPr="002770A7">
        <w:rPr>
          <w:rFonts w:ascii="Arial" w:hAnsi="Arial" w:cs="Arial"/>
          <w:color w:val="auto"/>
          <w:sz w:val="22"/>
          <w:szCs w:val="22"/>
        </w:rPr>
        <w:t xml:space="preserve">etkých sektoroch“, </w:t>
      </w:r>
      <w:r w:rsidR="00E95759" w:rsidRPr="002770A7">
        <w:rPr>
          <w:rFonts w:ascii="Arial" w:hAnsi="Arial" w:cs="Arial"/>
          <w:color w:val="auto"/>
          <w:sz w:val="22"/>
          <w:szCs w:val="22"/>
        </w:rPr>
        <w:t>4.2</w:t>
      </w:r>
      <w:r w:rsidR="0029033E" w:rsidRPr="002770A7">
        <w:rPr>
          <w:rFonts w:ascii="Arial" w:hAnsi="Arial" w:cs="Arial"/>
          <w:color w:val="auto"/>
          <w:sz w:val="22"/>
          <w:szCs w:val="22"/>
        </w:rPr>
        <w:t>.</w:t>
      </w:r>
      <w:r w:rsidR="00E95759" w:rsidRPr="002770A7">
        <w:rPr>
          <w:rFonts w:ascii="Arial" w:hAnsi="Arial" w:cs="Arial"/>
          <w:color w:val="auto"/>
          <w:sz w:val="22"/>
          <w:szCs w:val="22"/>
        </w:rPr>
        <w:t xml:space="preserve"> Podpora energetickej efektívnosti vo verejných infraštruktúrach a</w:t>
      </w:r>
      <w:r w:rsidRPr="002770A7">
        <w:rPr>
          <w:rFonts w:ascii="Arial" w:hAnsi="Arial" w:cs="Arial"/>
          <w:color w:val="auto"/>
          <w:sz w:val="22"/>
          <w:szCs w:val="22"/>
        </w:rPr>
        <w:t> </w:t>
      </w:r>
      <w:r w:rsidR="00E95759" w:rsidRPr="002770A7">
        <w:rPr>
          <w:rFonts w:ascii="Arial" w:hAnsi="Arial" w:cs="Arial"/>
          <w:color w:val="auto"/>
          <w:sz w:val="22"/>
          <w:szCs w:val="22"/>
        </w:rPr>
        <w:t>podnikoch</w:t>
      </w:r>
      <w:r w:rsidRPr="002770A7">
        <w:rPr>
          <w:rFonts w:ascii="Arial" w:hAnsi="Arial" w:cs="Arial"/>
          <w:color w:val="auto"/>
          <w:sz w:val="22"/>
          <w:szCs w:val="22"/>
        </w:rPr>
        <w:t>;</w:t>
      </w:r>
    </w:p>
    <w:p w:rsidR="009621D8" w:rsidRPr="002770A7" w:rsidRDefault="00E95759" w:rsidP="00B4731C">
      <w:pPr>
        <w:pStyle w:val="Default"/>
        <w:spacing w:line="276" w:lineRule="auto"/>
        <w:ind w:left="708"/>
        <w:jc w:val="both"/>
        <w:rPr>
          <w:rFonts w:ascii="Arial" w:hAnsi="Arial" w:cs="Arial"/>
          <w:color w:val="auto"/>
          <w:sz w:val="22"/>
          <w:szCs w:val="22"/>
        </w:rPr>
      </w:pPr>
      <w:r w:rsidRPr="002770A7">
        <w:rPr>
          <w:rFonts w:ascii="Arial" w:hAnsi="Arial" w:cs="Arial"/>
          <w:color w:val="auto"/>
          <w:sz w:val="22"/>
          <w:szCs w:val="22"/>
        </w:rPr>
        <w:t>4.4</w:t>
      </w:r>
      <w:r w:rsidR="0029033E" w:rsidRPr="002770A7">
        <w:rPr>
          <w:rFonts w:ascii="Arial" w:hAnsi="Arial" w:cs="Arial"/>
          <w:color w:val="auto"/>
          <w:sz w:val="22"/>
          <w:szCs w:val="22"/>
        </w:rPr>
        <w:t>.</w:t>
      </w:r>
      <w:r w:rsidRPr="002770A7">
        <w:rPr>
          <w:rFonts w:ascii="Arial" w:hAnsi="Arial" w:cs="Arial"/>
          <w:color w:val="auto"/>
          <w:sz w:val="22"/>
          <w:szCs w:val="22"/>
        </w:rPr>
        <w:t xml:space="preserve"> Podpora </w:t>
      </w:r>
      <w:proofErr w:type="spellStart"/>
      <w:r w:rsidRPr="002770A7">
        <w:rPr>
          <w:rFonts w:ascii="Arial" w:hAnsi="Arial" w:cs="Arial"/>
          <w:color w:val="auto"/>
          <w:sz w:val="22"/>
          <w:szCs w:val="22"/>
        </w:rPr>
        <w:t>nízkouhlíkových</w:t>
      </w:r>
      <w:proofErr w:type="spellEnd"/>
      <w:r w:rsidRPr="002770A7">
        <w:rPr>
          <w:rFonts w:ascii="Arial" w:hAnsi="Arial" w:cs="Arial"/>
          <w:color w:val="auto"/>
          <w:sz w:val="22"/>
          <w:szCs w:val="22"/>
        </w:rPr>
        <w:t xml:space="preserve"> stratégií a akčných plánov týkajúcich sa udržateľných energií pre všetky typy území </w:t>
      </w:r>
    </w:p>
    <w:p w:rsidR="009621D8" w:rsidRPr="002770A7" w:rsidRDefault="00E95759" w:rsidP="00B4731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770A7">
        <w:rPr>
          <w:rFonts w:ascii="Arial" w:hAnsi="Arial" w:cs="Arial"/>
          <w:color w:val="auto"/>
          <w:sz w:val="22"/>
          <w:szCs w:val="22"/>
        </w:rPr>
        <w:t>„Zlepšeni</w:t>
      </w:r>
      <w:r w:rsidR="0088493B" w:rsidRPr="002770A7">
        <w:rPr>
          <w:rFonts w:ascii="Arial" w:hAnsi="Arial" w:cs="Arial"/>
          <w:color w:val="auto"/>
          <w:sz w:val="22"/>
          <w:szCs w:val="22"/>
        </w:rPr>
        <w:t>e kvality životného prostredia“</w:t>
      </w:r>
      <w:r w:rsidR="00F149CF" w:rsidRPr="002770A7">
        <w:rPr>
          <w:rFonts w:ascii="Arial" w:hAnsi="Arial" w:cs="Arial"/>
          <w:color w:val="auto"/>
          <w:sz w:val="22"/>
          <w:szCs w:val="22"/>
        </w:rPr>
        <w:t xml:space="preserve"> -</w:t>
      </w:r>
      <w:r w:rsidRPr="002770A7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9621D8" w:rsidRPr="002770A7" w:rsidRDefault="009621D8" w:rsidP="00B4731C">
      <w:pPr>
        <w:pStyle w:val="Default"/>
        <w:spacing w:line="276" w:lineRule="auto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2770A7">
        <w:rPr>
          <w:rFonts w:ascii="Arial" w:hAnsi="Arial" w:cs="Arial"/>
          <w:color w:val="auto"/>
          <w:sz w:val="22"/>
          <w:szCs w:val="22"/>
        </w:rPr>
        <w:t>OP</w:t>
      </w:r>
      <w:r w:rsidR="00E95759" w:rsidRPr="002770A7">
        <w:rPr>
          <w:rFonts w:ascii="Arial" w:hAnsi="Arial" w:cs="Arial"/>
          <w:color w:val="auto"/>
          <w:sz w:val="22"/>
          <w:szCs w:val="22"/>
        </w:rPr>
        <w:t>6</w:t>
      </w:r>
      <w:r w:rsidR="0029033E" w:rsidRPr="002770A7">
        <w:rPr>
          <w:rFonts w:ascii="Arial" w:hAnsi="Arial" w:cs="Arial"/>
          <w:color w:val="auto"/>
          <w:sz w:val="22"/>
          <w:szCs w:val="22"/>
        </w:rPr>
        <w:t>.</w:t>
      </w:r>
      <w:r w:rsidR="00E95759" w:rsidRPr="002770A7">
        <w:rPr>
          <w:rFonts w:ascii="Arial" w:hAnsi="Arial" w:cs="Arial"/>
          <w:color w:val="auto"/>
          <w:sz w:val="22"/>
          <w:szCs w:val="22"/>
        </w:rPr>
        <w:t xml:space="preserve"> </w:t>
      </w:r>
      <w:r w:rsidRPr="002770A7">
        <w:rPr>
          <w:rFonts w:ascii="Arial" w:hAnsi="Arial" w:cs="Arial"/>
          <w:color w:val="auto"/>
          <w:sz w:val="22"/>
          <w:szCs w:val="22"/>
        </w:rPr>
        <w:t xml:space="preserve">- </w:t>
      </w:r>
      <w:r w:rsidR="00E95759" w:rsidRPr="002770A7">
        <w:rPr>
          <w:rFonts w:ascii="Arial" w:hAnsi="Arial" w:cs="Arial"/>
          <w:color w:val="auto"/>
          <w:sz w:val="22"/>
          <w:szCs w:val="22"/>
        </w:rPr>
        <w:t xml:space="preserve">„Ochrana ŽP a presadzovanie udržateľného využívania zdrojov“, </w:t>
      </w:r>
    </w:p>
    <w:p w:rsidR="00E95759" w:rsidRPr="002770A7" w:rsidRDefault="0029033E" w:rsidP="00B4731C">
      <w:pPr>
        <w:pStyle w:val="Default"/>
        <w:spacing w:line="276" w:lineRule="auto"/>
        <w:ind w:left="708"/>
        <w:jc w:val="both"/>
        <w:rPr>
          <w:rFonts w:ascii="Arial" w:hAnsi="Arial" w:cs="Arial"/>
          <w:color w:val="auto"/>
          <w:sz w:val="22"/>
          <w:szCs w:val="22"/>
        </w:rPr>
      </w:pPr>
      <w:r w:rsidRPr="002770A7">
        <w:rPr>
          <w:rFonts w:ascii="Arial" w:hAnsi="Arial" w:cs="Arial"/>
          <w:color w:val="auto"/>
          <w:sz w:val="22"/>
          <w:szCs w:val="22"/>
        </w:rPr>
        <w:t xml:space="preserve">6.5. „Podpora industriálneho prechodu smerom k hospodárstvu orientovanému na racionálne využívanie zdrojov“. </w:t>
      </w:r>
      <w:r w:rsidR="00A71FF1" w:rsidRPr="002770A7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B4731C" w:rsidRDefault="00B4731C" w:rsidP="00B4731C">
      <w:pPr>
        <w:pStyle w:val="Default"/>
        <w:spacing w:line="276" w:lineRule="auto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D53AFE" w:rsidRPr="002770A7" w:rsidRDefault="003E3A4D" w:rsidP="00B4731C">
      <w:pPr>
        <w:pStyle w:val="Default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color w:val="auto"/>
          <w:sz w:val="22"/>
          <w:szCs w:val="22"/>
        </w:rPr>
        <w:t>Priority PHSR sa kraj snaží napĺňať prostredníctvom Akčného plánu Úradu BSK</w:t>
      </w:r>
      <w:r w:rsidR="00766886" w:rsidRPr="002770A7">
        <w:rPr>
          <w:rFonts w:ascii="Arial" w:hAnsi="Arial" w:cs="Arial"/>
          <w:color w:val="auto"/>
          <w:sz w:val="22"/>
          <w:szCs w:val="22"/>
        </w:rPr>
        <w:t xml:space="preserve"> pre implementáciu </w:t>
      </w:r>
      <w:r w:rsidR="00350265" w:rsidRPr="002770A7">
        <w:rPr>
          <w:rFonts w:ascii="Arial" w:hAnsi="Arial" w:cs="Arial"/>
          <w:color w:val="auto"/>
          <w:sz w:val="22"/>
          <w:szCs w:val="22"/>
        </w:rPr>
        <w:t>PHSR BSK 2014 -2020</w:t>
      </w:r>
      <w:r w:rsidR="00757786" w:rsidRPr="002770A7">
        <w:rPr>
          <w:rFonts w:ascii="Arial" w:hAnsi="Arial" w:cs="Arial"/>
          <w:color w:val="auto"/>
          <w:sz w:val="22"/>
          <w:szCs w:val="22"/>
        </w:rPr>
        <w:t>, ktorý bol schválený Zastupiteľstvom BSK dňa 21.02.2014 uznesením č.10/2014</w:t>
      </w:r>
      <w:r w:rsidR="00766886" w:rsidRPr="002770A7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B4731C" w:rsidRDefault="00B4731C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4731C" w:rsidRDefault="00B4731C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083D6F" w:rsidRPr="002770A7" w:rsidRDefault="00B4731C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OBSAH</w:t>
      </w:r>
      <w:r w:rsidR="00FF6A0B" w:rsidRPr="002770A7">
        <w:rPr>
          <w:rFonts w:ascii="Arial" w:hAnsi="Arial" w:cs="Arial"/>
          <w:b/>
          <w:sz w:val="22"/>
          <w:szCs w:val="22"/>
        </w:rPr>
        <w:t xml:space="preserve"> STRATÉGIE </w:t>
      </w:r>
    </w:p>
    <w:p w:rsidR="00350265" w:rsidRPr="002770A7" w:rsidRDefault="00350265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E84823" w:rsidRPr="002770A7" w:rsidRDefault="00E84823" w:rsidP="00B4731C">
      <w:pPr>
        <w:pStyle w:val="StrategiaBSK"/>
        <w:widowControl w:val="0"/>
        <w:numPr>
          <w:ilvl w:val="0"/>
          <w:numId w:val="45"/>
        </w:numPr>
        <w:shd w:val="clear" w:color="auto" w:fill="FFFFFF" w:themeFill="background1"/>
        <w:spacing w:line="240" w:lineRule="auto"/>
        <w:ind w:left="0" w:firstLine="0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 xml:space="preserve">Úvod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 2</w:t>
      </w:r>
    </w:p>
    <w:p w:rsidR="00E84823" w:rsidRPr="002770A7" w:rsidRDefault="00E84823" w:rsidP="00B4731C">
      <w:pPr>
        <w:pStyle w:val="StrategiaBSK"/>
        <w:widowControl w:val="0"/>
        <w:numPr>
          <w:ilvl w:val="0"/>
          <w:numId w:val="45"/>
        </w:numPr>
        <w:shd w:val="clear" w:color="auto" w:fill="FFFFFF" w:themeFill="background1"/>
        <w:spacing w:line="240" w:lineRule="auto"/>
        <w:ind w:left="0" w:firstLine="0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>Identifikačné údaje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 5</w:t>
      </w:r>
    </w:p>
    <w:p w:rsidR="00E84823" w:rsidRPr="002770A7" w:rsidRDefault="00E84823" w:rsidP="00B4731C">
      <w:pPr>
        <w:pStyle w:val="StrategiaBSK"/>
        <w:widowControl w:val="0"/>
        <w:numPr>
          <w:ilvl w:val="1"/>
          <w:numId w:val="45"/>
        </w:numPr>
        <w:shd w:val="clear" w:color="auto" w:fill="FFFFFF" w:themeFill="background1"/>
        <w:spacing w:line="240" w:lineRule="auto"/>
        <w:ind w:left="0" w:firstLine="709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>Zadávateľ stratégie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 5</w:t>
      </w:r>
    </w:p>
    <w:p w:rsidR="00E84823" w:rsidRPr="002770A7" w:rsidRDefault="00E84823" w:rsidP="00B4731C">
      <w:pPr>
        <w:pStyle w:val="StrategiaBSK"/>
        <w:widowControl w:val="0"/>
        <w:numPr>
          <w:ilvl w:val="1"/>
          <w:numId w:val="45"/>
        </w:numPr>
        <w:shd w:val="clear" w:color="auto" w:fill="FFFFFF" w:themeFill="background1"/>
        <w:spacing w:line="240" w:lineRule="auto"/>
        <w:ind w:left="0" w:firstLine="709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 xml:space="preserve">Predkladateľ stratégie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 5</w:t>
      </w:r>
    </w:p>
    <w:p w:rsidR="00E84823" w:rsidRPr="002770A7" w:rsidRDefault="00E84823" w:rsidP="00B4731C">
      <w:pPr>
        <w:pStyle w:val="StrategiaBSK"/>
        <w:widowControl w:val="0"/>
        <w:numPr>
          <w:ilvl w:val="0"/>
          <w:numId w:val="45"/>
        </w:numPr>
        <w:shd w:val="clear" w:color="auto" w:fill="FFFFFF" w:themeFill="background1"/>
        <w:spacing w:line="240" w:lineRule="auto"/>
        <w:ind w:left="0" w:firstLine="0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>Predmet a účel stratégie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 xml:space="preserve"> 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 6</w:t>
      </w:r>
    </w:p>
    <w:p w:rsidR="00E84823" w:rsidRPr="002770A7" w:rsidRDefault="00E84823" w:rsidP="00B4731C">
      <w:pPr>
        <w:pStyle w:val="StrategiaBSK"/>
        <w:widowControl w:val="0"/>
        <w:numPr>
          <w:ilvl w:val="1"/>
          <w:numId w:val="45"/>
        </w:numPr>
        <w:shd w:val="clear" w:color="auto" w:fill="FFFFFF" w:themeFill="background1"/>
        <w:spacing w:line="240" w:lineRule="auto"/>
        <w:ind w:left="0" w:firstLine="709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 xml:space="preserve">Identifikácia predmetu stratégie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 6</w:t>
      </w:r>
    </w:p>
    <w:p w:rsidR="00E84823" w:rsidRPr="002770A7" w:rsidRDefault="00E84823" w:rsidP="00B4731C">
      <w:pPr>
        <w:pStyle w:val="StrategiaBSK"/>
        <w:widowControl w:val="0"/>
        <w:numPr>
          <w:ilvl w:val="1"/>
          <w:numId w:val="45"/>
        </w:numPr>
        <w:shd w:val="clear" w:color="auto" w:fill="FFFFFF" w:themeFill="background1"/>
        <w:spacing w:line="240" w:lineRule="auto"/>
        <w:ind w:left="0" w:firstLine="709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>Účel a legislatívny rámec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 xml:space="preserve">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 6</w:t>
      </w:r>
    </w:p>
    <w:p w:rsidR="00E84823" w:rsidRPr="002770A7" w:rsidRDefault="00E84823" w:rsidP="00B4731C">
      <w:pPr>
        <w:pStyle w:val="StrategiaBSK"/>
        <w:widowControl w:val="0"/>
        <w:numPr>
          <w:ilvl w:val="1"/>
          <w:numId w:val="45"/>
        </w:numPr>
        <w:shd w:val="clear" w:color="auto" w:fill="FFFFFF" w:themeFill="background1"/>
        <w:spacing w:line="240" w:lineRule="auto"/>
        <w:ind w:left="0" w:firstLine="709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 xml:space="preserve">Miestne a normalizované klimatické podmienky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 9</w:t>
      </w:r>
    </w:p>
    <w:p w:rsidR="00E84823" w:rsidRPr="002770A7" w:rsidRDefault="00E84823" w:rsidP="00B4731C">
      <w:pPr>
        <w:pStyle w:val="StrategiaBSK"/>
        <w:widowControl w:val="0"/>
        <w:numPr>
          <w:ilvl w:val="0"/>
          <w:numId w:val="45"/>
        </w:numPr>
        <w:shd w:val="clear" w:color="auto" w:fill="FFFFFF" w:themeFill="background1"/>
        <w:spacing w:line="240" w:lineRule="auto"/>
        <w:ind w:left="0" w:firstLine="0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>Skutkový stav a možné opatrenia pre zvýšenie energetickej hospodárnosti budov</w:t>
      </w:r>
      <w:r w:rsidRPr="002770A7">
        <w:rPr>
          <w:rFonts w:ascii="Arial" w:hAnsi="Arial" w:cs="Arial"/>
          <w:i/>
          <w:sz w:val="20"/>
          <w:szCs w:val="20"/>
        </w:rPr>
        <w:tab/>
        <w:t>... 12</w:t>
      </w:r>
    </w:p>
    <w:p w:rsidR="00E84823" w:rsidRPr="002770A7" w:rsidRDefault="00E84823" w:rsidP="00B4731C">
      <w:pPr>
        <w:pStyle w:val="StrategiaBSK"/>
        <w:widowControl w:val="0"/>
        <w:numPr>
          <w:ilvl w:val="1"/>
          <w:numId w:val="45"/>
        </w:numPr>
        <w:shd w:val="clear" w:color="auto" w:fill="FFFFFF" w:themeFill="background1"/>
        <w:spacing w:line="240" w:lineRule="auto"/>
        <w:ind w:left="0" w:firstLine="709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>Stavebné konštrukcie</w:t>
      </w:r>
      <w:r w:rsidRPr="002770A7">
        <w:rPr>
          <w:rFonts w:ascii="Arial" w:hAnsi="Arial" w:cs="Arial"/>
          <w:i/>
          <w:sz w:val="20"/>
          <w:szCs w:val="20"/>
        </w:rPr>
        <w:tab/>
        <w:t xml:space="preserve">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14</w:t>
      </w:r>
    </w:p>
    <w:p w:rsidR="00E84823" w:rsidRPr="002770A7" w:rsidRDefault="00E84823" w:rsidP="00B4731C">
      <w:pPr>
        <w:pStyle w:val="StrategiaBSK"/>
        <w:widowControl w:val="0"/>
        <w:numPr>
          <w:ilvl w:val="1"/>
          <w:numId w:val="45"/>
        </w:numPr>
        <w:shd w:val="clear" w:color="auto" w:fill="FFFFFF" w:themeFill="background1"/>
        <w:spacing w:line="240" w:lineRule="auto"/>
        <w:ind w:left="0" w:firstLine="709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 xml:space="preserve">Energetické hospodárstvo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 xml:space="preserve">... 22 </w:t>
      </w:r>
    </w:p>
    <w:p w:rsidR="00E84823" w:rsidRPr="002770A7" w:rsidRDefault="00E84823" w:rsidP="00B4731C">
      <w:pPr>
        <w:pStyle w:val="StrategiaBSK"/>
        <w:widowControl w:val="0"/>
        <w:numPr>
          <w:ilvl w:val="1"/>
          <w:numId w:val="45"/>
        </w:numPr>
        <w:shd w:val="clear" w:color="auto" w:fill="FFFFFF" w:themeFill="background1"/>
        <w:spacing w:line="240" w:lineRule="auto"/>
        <w:ind w:left="0" w:firstLine="709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>Vykurovanie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24</w:t>
      </w:r>
    </w:p>
    <w:p w:rsidR="00E84823" w:rsidRPr="002770A7" w:rsidRDefault="00E84823" w:rsidP="00B4731C">
      <w:pPr>
        <w:pStyle w:val="StrategiaBSK"/>
        <w:widowControl w:val="0"/>
        <w:numPr>
          <w:ilvl w:val="1"/>
          <w:numId w:val="45"/>
        </w:numPr>
        <w:shd w:val="clear" w:color="auto" w:fill="FFFFFF" w:themeFill="background1"/>
        <w:spacing w:line="240" w:lineRule="auto"/>
        <w:ind w:left="0" w:firstLine="709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 xml:space="preserve">Vetranie a klimatizácia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26</w:t>
      </w:r>
    </w:p>
    <w:p w:rsidR="00E84823" w:rsidRPr="002770A7" w:rsidRDefault="00E84823" w:rsidP="00B4731C">
      <w:pPr>
        <w:pStyle w:val="StrategiaBSK"/>
        <w:widowControl w:val="0"/>
        <w:numPr>
          <w:ilvl w:val="1"/>
          <w:numId w:val="45"/>
        </w:numPr>
        <w:shd w:val="clear" w:color="auto" w:fill="FFFFFF" w:themeFill="background1"/>
        <w:spacing w:line="240" w:lineRule="auto"/>
        <w:ind w:left="0" w:firstLine="709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 xml:space="preserve">Príprava teplej vody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27</w:t>
      </w:r>
    </w:p>
    <w:p w:rsidR="00E84823" w:rsidRPr="002770A7" w:rsidRDefault="00E84823" w:rsidP="00B4731C">
      <w:pPr>
        <w:pStyle w:val="StrategiaBSK"/>
        <w:widowControl w:val="0"/>
        <w:numPr>
          <w:ilvl w:val="1"/>
          <w:numId w:val="45"/>
        </w:numPr>
        <w:shd w:val="clear" w:color="auto" w:fill="FFFFFF" w:themeFill="background1"/>
        <w:spacing w:line="240" w:lineRule="auto"/>
        <w:ind w:left="0" w:firstLine="709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>Rozvody energie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28</w:t>
      </w:r>
    </w:p>
    <w:p w:rsidR="00E84823" w:rsidRPr="002770A7" w:rsidRDefault="00E84823" w:rsidP="00B4731C">
      <w:pPr>
        <w:pStyle w:val="StrategiaBSK"/>
        <w:widowControl w:val="0"/>
        <w:numPr>
          <w:ilvl w:val="1"/>
          <w:numId w:val="45"/>
        </w:numPr>
        <w:shd w:val="clear" w:color="auto" w:fill="FFFFFF" w:themeFill="background1"/>
        <w:spacing w:line="240" w:lineRule="auto"/>
        <w:ind w:left="0" w:firstLine="709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>Osvetlenie</w:t>
      </w:r>
      <w:r w:rsidRPr="002770A7">
        <w:rPr>
          <w:rFonts w:ascii="Arial" w:hAnsi="Arial" w:cs="Arial"/>
          <w:i/>
          <w:sz w:val="20"/>
          <w:szCs w:val="20"/>
        </w:rPr>
        <w:tab/>
        <w:t xml:space="preserve">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30</w:t>
      </w:r>
    </w:p>
    <w:p w:rsidR="00E84823" w:rsidRPr="002770A7" w:rsidRDefault="00E84823" w:rsidP="00B4731C">
      <w:pPr>
        <w:pStyle w:val="StrategiaBSK"/>
        <w:widowControl w:val="0"/>
        <w:numPr>
          <w:ilvl w:val="1"/>
          <w:numId w:val="45"/>
        </w:numPr>
        <w:shd w:val="clear" w:color="auto" w:fill="FFFFFF" w:themeFill="background1"/>
        <w:spacing w:line="240" w:lineRule="auto"/>
        <w:ind w:left="0" w:firstLine="709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>Energetický manažment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34</w:t>
      </w:r>
    </w:p>
    <w:p w:rsidR="00E84823" w:rsidRPr="002770A7" w:rsidRDefault="00E84823" w:rsidP="00B4731C">
      <w:pPr>
        <w:pStyle w:val="StrategiaBSK"/>
        <w:widowControl w:val="0"/>
        <w:numPr>
          <w:ilvl w:val="1"/>
          <w:numId w:val="45"/>
        </w:numPr>
        <w:shd w:val="clear" w:color="auto" w:fill="FFFFFF" w:themeFill="background1"/>
        <w:spacing w:line="240" w:lineRule="auto"/>
        <w:ind w:left="0" w:firstLine="709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 xml:space="preserve">Vplyv na životné prostredie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36</w:t>
      </w:r>
    </w:p>
    <w:p w:rsidR="00E84823" w:rsidRPr="002770A7" w:rsidRDefault="00E84823" w:rsidP="00B4731C">
      <w:pPr>
        <w:pStyle w:val="StrategiaBSK"/>
        <w:widowControl w:val="0"/>
        <w:numPr>
          <w:ilvl w:val="0"/>
          <w:numId w:val="45"/>
        </w:numPr>
        <w:shd w:val="clear" w:color="auto" w:fill="FFFFFF" w:themeFill="background1"/>
        <w:spacing w:line="240" w:lineRule="auto"/>
        <w:ind w:left="0" w:firstLine="0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 xml:space="preserve">Financovanie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39</w:t>
      </w:r>
    </w:p>
    <w:p w:rsidR="00E84823" w:rsidRPr="002770A7" w:rsidRDefault="00E84823" w:rsidP="00B4731C">
      <w:pPr>
        <w:pStyle w:val="StrategiaBSK"/>
        <w:widowControl w:val="0"/>
        <w:numPr>
          <w:ilvl w:val="1"/>
          <w:numId w:val="45"/>
        </w:numPr>
        <w:shd w:val="clear" w:color="auto" w:fill="FFFFFF" w:themeFill="background1"/>
        <w:spacing w:line="240" w:lineRule="auto"/>
        <w:ind w:left="0" w:firstLine="709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 xml:space="preserve">Fondy a operačné programy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40</w:t>
      </w:r>
    </w:p>
    <w:p w:rsidR="00E84823" w:rsidRPr="002770A7" w:rsidRDefault="00E84823" w:rsidP="00B4731C">
      <w:pPr>
        <w:pStyle w:val="StrategiaBSK"/>
        <w:widowControl w:val="0"/>
        <w:numPr>
          <w:ilvl w:val="1"/>
          <w:numId w:val="45"/>
        </w:numPr>
        <w:shd w:val="clear" w:color="auto" w:fill="FFFFFF" w:themeFill="background1"/>
        <w:spacing w:line="240" w:lineRule="auto"/>
        <w:ind w:left="0" w:firstLine="709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 xml:space="preserve">Finančné zdroje súkromných, resp. neziskových organizácií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49</w:t>
      </w:r>
    </w:p>
    <w:p w:rsidR="00E84823" w:rsidRPr="002770A7" w:rsidRDefault="00E84823" w:rsidP="00B4731C">
      <w:pPr>
        <w:pStyle w:val="StrategiaBSK"/>
        <w:widowControl w:val="0"/>
        <w:numPr>
          <w:ilvl w:val="1"/>
          <w:numId w:val="45"/>
        </w:numPr>
        <w:shd w:val="clear" w:color="auto" w:fill="FFFFFF" w:themeFill="background1"/>
        <w:spacing w:line="240" w:lineRule="auto"/>
        <w:ind w:left="0" w:firstLine="709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 xml:space="preserve">Najvýhodnejšie metódy financovania 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54</w:t>
      </w:r>
    </w:p>
    <w:p w:rsidR="00E84823" w:rsidRPr="002770A7" w:rsidRDefault="00E84823" w:rsidP="00B4731C">
      <w:pPr>
        <w:pStyle w:val="StrategiaBSK"/>
        <w:widowControl w:val="0"/>
        <w:numPr>
          <w:ilvl w:val="0"/>
          <w:numId w:val="45"/>
        </w:numPr>
        <w:shd w:val="clear" w:color="auto" w:fill="FFFFFF" w:themeFill="background1"/>
        <w:spacing w:line="240" w:lineRule="auto"/>
        <w:ind w:left="0" w:firstLine="0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>Návrh akčného plánu činností a úloh zvyšovania energetickej efektívnosti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55</w:t>
      </w:r>
    </w:p>
    <w:p w:rsidR="00E84823" w:rsidRPr="002770A7" w:rsidRDefault="00E84823" w:rsidP="00B4731C">
      <w:pPr>
        <w:pStyle w:val="StrategiaBSK"/>
        <w:widowControl w:val="0"/>
        <w:numPr>
          <w:ilvl w:val="0"/>
          <w:numId w:val="45"/>
        </w:numPr>
        <w:shd w:val="clear" w:color="auto" w:fill="FFFFFF" w:themeFill="background1"/>
        <w:spacing w:line="240" w:lineRule="auto"/>
        <w:ind w:left="0" w:firstLine="0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 xml:space="preserve">Záver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61</w:t>
      </w:r>
    </w:p>
    <w:p w:rsidR="00E84823" w:rsidRPr="002770A7" w:rsidRDefault="00E84823" w:rsidP="00B4731C">
      <w:pPr>
        <w:pStyle w:val="StrategiaBSK"/>
        <w:widowControl w:val="0"/>
        <w:shd w:val="clear" w:color="auto" w:fill="FFFFFF" w:themeFill="background1"/>
        <w:spacing w:line="240" w:lineRule="auto"/>
        <w:jc w:val="left"/>
        <w:rPr>
          <w:rFonts w:ascii="Arial" w:hAnsi="Arial" w:cs="Arial"/>
          <w:i/>
          <w:sz w:val="20"/>
          <w:szCs w:val="20"/>
        </w:rPr>
      </w:pPr>
    </w:p>
    <w:p w:rsidR="00E84823" w:rsidRPr="002770A7" w:rsidRDefault="00E84823" w:rsidP="00B4731C">
      <w:pPr>
        <w:pStyle w:val="StrategiaBSK"/>
        <w:widowControl w:val="0"/>
        <w:shd w:val="clear" w:color="auto" w:fill="FFFFFF" w:themeFill="background1"/>
        <w:spacing w:line="240" w:lineRule="auto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 xml:space="preserve">Príloha č. 1: Zoznam posudzovaných objektov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63</w:t>
      </w:r>
    </w:p>
    <w:p w:rsidR="00E84823" w:rsidRPr="002770A7" w:rsidRDefault="00E84823" w:rsidP="00B4731C">
      <w:pPr>
        <w:pStyle w:val="StrategiaBSK"/>
        <w:widowControl w:val="0"/>
        <w:shd w:val="clear" w:color="auto" w:fill="FFFFFF" w:themeFill="background1"/>
        <w:spacing w:line="240" w:lineRule="auto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 xml:space="preserve">Príloha č. 2: Zoznam legislatívnych predpisov a použitej literatúry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65</w:t>
      </w:r>
    </w:p>
    <w:p w:rsidR="00E84823" w:rsidRPr="002770A7" w:rsidRDefault="00E84823" w:rsidP="00B4731C">
      <w:pPr>
        <w:pStyle w:val="StrategiaBSK"/>
        <w:widowControl w:val="0"/>
        <w:shd w:val="clear" w:color="auto" w:fill="FFFFFF" w:themeFill="background1"/>
        <w:spacing w:line="240" w:lineRule="auto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>Príloha č. 3: Normové požiadavky na stavebné konštrukcie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68</w:t>
      </w:r>
    </w:p>
    <w:p w:rsidR="00E84823" w:rsidRPr="002770A7" w:rsidRDefault="00E84823" w:rsidP="00B4731C">
      <w:pPr>
        <w:pStyle w:val="StrategiaBSK"/>
        <w:widowControl w:val="0"/>
        <w:shd w:val="clear" w:color="auto" w:fill="FFFFFF" w:themeFill="background1"/>
        <w:spacing w:line="240" w:lineRule="auto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>Príloha č. 4: Vzor evidenčného listu objektu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78</w:t>
      </w:r>
    </w:p>
    <w:p w:rsidR="00E84823" w:rsidRPr="002770A7" w:rsidRDefault="00E84823" w:rsidP="00B4731C">
      <w:pPr>
        <w:pStyle w:val="StrategiaBSK"/>
        <w:widowControl w:val="0"/>
        <w:shd w:val="clear" w:color="auto" w:fill="FFFFFF" w:themeFill="background1"/>
        <w:spacing w:line="240" w:lineRule="auto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>Príloha č. 5: Metodika a kritéria hodnotenia opatrení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81</w:t>
      </w:r>
    </w:p>
    <w:p w:rsidR="00E84823" w:rsidRPr="002770A7" w:rsidRDefault="00E84823" w:rsidP="00B4731C">
      <w:pPr>
        <w:pStyle w:val="StrategiaBSK"/>
        <w:widowControl w:val="0"/>
        <w:shd w:val="clear" w:color="auto" w:fill="FFFFFF" w:themeFill="background1"/>
        <w:spacing w:line="240" w:lineRule="auto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>Príloha č. 6: Typové evidenčné a výpočtové údaje - vzory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82</w:t>
      </w:r>
    </w:p>
    <w:p w:rsidR="00E84823" w:rsidRPr="002770A7" w:rsidRDefault="00E84823" w:rsidP="00B4731C">
      <w:pPr>
        <w:pStyle w:val="StrategiaBSK"/>
        <w:widowControl w:val="0"/>
        <w:shd w:val="clear" w:color="auto" w:fill="FFFFFF" w:themeFill="background1"/>
        <w:spacing w:line="240" w:lineRule="auto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 xml:space="preserve">Príloha č. 7: Vzor zmluvy o garantovanej energetickej službe – návrh </w:t>
      </w:r>
      <w:proofErr w:type="spellStart"/>
      <w:r w:rsidRPr="002770A7">
        <w:rPr>
          <w:rFonts w:ascii="Arial" w:hAnsi="Arial" w:cs="Arial"/>
          <w:i/>
          <w:sz w:val="20"/>
          <w:szCs w:val="20"/>
        </w:rPr>
        <w:t>APESu-SK</w:t>
      </w:r>
      <w:proofErr w:type="spellEnd"/>
      <w:r w:rsidRPr="002770A7">
        <w:rPr>
          <w:rFonts w:ascii="Arial" w:hAnsi="Arial" w:cs="Arial"/>
          <w:i/>
          <w:sz w:val="20"/>
          <w:szCs w:val="20"/>
        </w:rPr>
        <w:t xml:space="preserve"> 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87</w:t>
      </w:r>
    </w:p>
    <w:p w:rsidR="00E84823" w:rsidRPr="002770A7" w:rsidRDefault="00E84823" w:rsidP="00B4731C">
      <w:pPr>
        <w:pStyle w:val="StrategiaBSK"/>
        <w:widowControl w:val="0"/>
        <w:shd w:val="clear" w:color="auto" w:fill="FFFFFF" w:themeFill="background1"/>
        <w:spacing w:line="240" w:lineRule="auto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2770A7">
        <w:rPr>
          <w:rFonts w:ascii="Arial" w:hAnsi="Arial" w:cs="Arial"/>
          <w:i/>
          <w:sz w:val="20"/>
          <w:szCs w:val="20"/>
        </w:rPr>
        <w:t>Príloha č. 8:Vzor komplexnej zmluvy o energetických službách a o prevádzke zariadení</w:t>
      </w:r>
      <w:r w:rsidRPr="002770A7">
        <w:rPr>
          <w:rFonts w:ascii="Arial" w:hAnsi="Arial" w:cs="Arial"/>
          <w:i/>
          <w:sz w:val="20"/>
          <w:szCs w:val="20"/>
        </w:rPr>
        <w:tab/>
      </w:r>
      <w:r w:rsidRPr="002770A7">
        <w:rPr>
          <w:rFonts w:ascii="Arial" w:hAnsi="Arial" w:cs="Arial"/>
          <w:i/>
          <w:sz w:val="20"/>
          <w:szCs w:val="20"/>
        </w:rPr>
        <w:tab/>
        <w:t>... 96</w:t>
      </w:r>
    </w:p>
    <w:p w:rsidR="00B4731C" w:rsidRDefault="00B4731C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4731C" w:rsidRDefault="00B4731C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7C7894" w:rsidRDefault="007C7894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7C7894" w:rsidRDefault="007C7894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7C7894" w:rsidRDefault="007C7894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4731C" w:rsidRPr="002770A7" w:rsidRDefault="00B4731C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770A7">
        <w:rPr>
          <w:rFonts w:ascii="Arial" w:hAnsi="Arial" w:cs="Arial"/>
          <w:b/>
          <w:sz w:val="22"/>
          <w:szCs w:val="22"/>
        </w:rPr>
        <w:lastRenderedPageBreak/>
        <w:t xml:space="preserve">ÚČEL STRATÉGIE </w:t>
      </w:r>
    </w:p>
    <w:p w:rsidR="00E84823" w:rsidRPr="002770A7" w:rsidRDefault="00E84823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405CA4" w:rsidRPr="002770A7" w:rsidRDefault="00405CA4" w:rsidP="00B4731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i/>
          <w:sz w:val="22"/>
          <w:szCs w:val="22"/>
        </w:rPr>
        <w:t>Stratégia</w:t>
      </w:r>
      <w:r w:rsidRPr="002770A7">
        <w:rPr>
          <w:rFonts w:ascii="Arial" w:hAnsi="Arial" w:cs="Arial"/>
          <w:sz w:val="22"/>
          <w:szCs w:val="22"/>
        </w:rPr>
        <w:t xml:space="preserve"> je ucelený strednodobý strategický dokument na r. 2014</w:t>
      </w:r>
      <w:r w:rsidR="00E84823" w:rsidRPr="002770A7">
        <w:rPr>
          <w:rFonts w:ascii="Arial" w:hAnsi="Arial" w:cs="Arial"/>
          <w:sz w:val="22"/>
          <w:szCs w:val="22"/>
        </w:rPr>
        <w:t>-2020, ktorý definuje aktivity Ú</w:t>
      </w:r>
      <w:r w:rsidRPr="002770A7">
        <w:rPr>
          <w:rFonts w:ascii="Arial" w:hAnsi="Arial" w:cs="Arial"/>
          <w:sz w:val="22"/>
          <w:szCs w:val="22"/>
        </w:rPr>
        <w:t xml:space="preserve">radu Bratislavského samosprávneho kraja zamerané na zefektívnenie prevádzkových nákladov, znižovanie nákladov na energie a znižovanie emisií CO2. Spracováva sa aj v nadväznosti na pristúpenie kraja k celoeurópskej iniciatíve Dohovor primátorov a starostov. Úlohou dokumentu je navrhnúť také opatrenia na šetrenie energiou, znižovanie energetickej náročnosti v celom energetickom hospodárstve budov BSK zavádzaním moderných technológií alebo výraznými stavebnotechnickými zmenami, či využitím obnoviteľných zdrojov energií v tých formách, ktoré budú ekonomicky únosné a prijateľné. Jednoduchšie povedané, základným účelom stratégie je prostredníctvom praktických opatrení navrhnúť optimálne riešenie na dosiahnutie zníženia prevádzkových nákladov na energie pre budovy v majetku BSK. Tento materiál je spracovaný z dôvodov, aby sa postupne začal realizovať a zaviedol aj do praxe v objektoch v zriaďovateľskej  pôsobnosti  BSK v súlade s nástrojmi, úlohami a cieľmi energetickej politiky. </w:t>
      </w:r>
    </w:p>
    <w:p w:rsidR="00405CA4" w:rsidRPr="002770A7" w:rsidRDefault="00405CA4" w:rsidP="00B4731C">
      <w:pPr>
        <w:pStyle w:val="StrategiaBSK"/>
        <w:widowControl w:val="0"/>
        <w:spacing w:line="276" w:lineRule="auto"/>
        <w:ind w:firstLine="567"/>
        <w:rPr>
          <w:rFonts w:ascii="Arial" w:eastAsia="Times New Roman" w:hAnsi="Arial" w:cs="Arial"/>
          <w:lang w:eastAsia="sk-SK"/>
        </w:rPr>
      </w:pPr>
    </w:p>
    <w:p w:rsidR="00405CA4" w:rsidRPr="002770A7" w:rsidRDefault="00405CA4" w:rsidP="00B4731C">
      <w:pPr>
        <w:pStyle w:val="StrategiaBSK"/>
        <w:widowControl w:val="0"/>
        <w:spacing w:line="276" w:lineRule="auto"/>
        <w:ind w:firstLine="0"/>
        <w:rPr>
          <w:rFonts w:ascii="Arial" w:eastAsia="Times New Roman" w:hAnsi="Arial" w:cs="Arial"/>
          <w:b/>
          <w:lang w:eastAsia="sk-SK"/>
        </w:rPr>
      </w:pPr>
      <w:r w:rsidRPr="002770A7">
        <w:rPr>
          <w:rFonts w:ascii="Arial" w:eastAsia="Times New Roman" w:hAnsi="Arial" w:cs="Arial"/>
          <w:b/>
          <w:lang w:eastAsia="sk-SK"/>
        </w:rPr>
        <w:t>Hlavné ciele:</w:t>
      </w:r>
    </w:p>
    <w:p w:rsidR="00405CA4" w:rsidRPr="002770A7" w:rsidRDefault="00405CA4" w:rsidP="00B4731C">
      <w:pPr>
        <w:pStyle w:val="StrategiaBSK"/>
        <w:widowControl w:val="0"/>
        <w:numPr>
          <w:ilvl w:val="0"/>
          <w:numId w:val="36"/>
        </w:numPr>
        <w:spacing w:line="276" w:lineRule="auto"/>
        <w:ind w:left="709" w:hanging="142"/>
        <w:rPr>
          <w:rFonts w:ascii="Arial" w:eastAsia="Times New Roman" w:hAnsi="Arial" w:cs="Arial"/>
          <w:lang w:eastAsia="sk-SK"/>
        </w:rPr>
      </w:pPr>
      <w:r w:rsidRPr="002770A7">
        <w:rPr>
          <w:rFonts w:ascii="Arial" w:eastAsia="Times New Roman" w:hAnsi="Arial" w:cs="Arial"/>
          <w:lang w:eastAsia="sk-SK"/>
        </w:rPr>
        <w:t>zvyšovanie energetickej efektívnosti  budov,</w:t>
      </w:r>
    </w:p>
    <w:p w:rsidR="00405CA4" w:rsidRPr="002770A7" w:rsidRDefault="00405CA4" w:rsidP="00B4731C">
      <w:pPr>
        <w:pStyle w:val="StrategiaBSK"/>
        <w:widowControl w:val="0"/>
        <w:numPr>
          <w:ilvl w:val="0"/>
          <w:numId w:val="36"/>
        </w:numPr>
        <w:spacing w:line="276" w:lineRule="auto"/>
        <w:ind w:left="709" w:hanging="142"/>
        <w:rPr>
          <w:rFonts w:ascii="Arial" w:eastAsia="Times New Roman" w:hAnsi="Arial" w:cs="Arial"/>
          <w:lang w:eastAsia="sk-SK"/>
        </w:rPr>
      </w:pPr>
      <w:r w:rsidRPr="002770A7">
        <w:rPr>
          <w:rFonts w:ascii="Arial" w:eastAsia="Times New Roman" w:hAnsi="Arial" w:cs="Arial"/>
          <w:lang w:eastAsia="sk-SK"/>
        </w:rPr>
        <w:t>zabezpečenie výroby elektrickej energie a tepla z obnoviteľných zdrojov energie,</w:t>
      </w:r>
    </w:p>
    <w:p w:rsidR="00405CA4" w:rsidRPr="002770A7" w:rsidRDefault="00405CA4" w:rsidP="00B4731C">
      <w:pPr>
        <w:pStyle w:val="StrategiaBSK"/>
        <w:widowControl w:val="0"/>
        <w:numPr>
          <w:ilvl w:val="0"/>
          <w:numId w:val="36"/>
        </w:numPr>
        <w:spacing w:line="276" w:lineRule="auto"/>
        <w:ind w:left="709" w:hanging="142"/>
        <w:rPr>
          <w:rFonts w:ascii="Arial" w:eastAsia="Times New Roman" w:hAnsi="Arial" w:cs="Arial"/>
          <w:lang w:eastAsia="sk-SK"/>
        </w:rPr>
      </w:pPr>
      <w:r w:rsidRPr="002770A7">
        <w:rPr>
          <w:rFonts w:ascii="Arial" w:eastAsia="Times New Roman" w:hAnsi="Arial" w:cs="Arial"/>
          <w:lang w:eastAsia="sk-SK"/>
        </w:rPr>
        <w:t>vyššie využívanie miestnych a obnoviteľných zdrojov energie,</w:t>
      </w:r>
    </w:p>
    <w:p w:rsidR="00405CA4" w:rsidRPr="002770A7" w:rsidRDefault="00405CA4" w:rsidP="00B4731C">
      <w:pPr>
        <w:pStyle w:val="StrategiaBSK"/>
        <w:widowControl w:val="0"/>
        <w:numPr>
          <w:ilvl w:val="0"/>
          <w:numId w:val="36"/>
        </w:numPr>
        <w:spacing w:line="276" w:lineRule="auto"/>
        <w:ind w:left="709" w:hanging="142"/>
        <w:rPr>
          <w:rFonts w:ascii="Arial" w:eastAsia="Times New Roman" w:hAnsi="Arial" w:cs="Arial"/>
          <w:lang w:eastAsia="sk-SK"/>
        </w:rPr>
      </w:pPr>
      <w:r w:rsidRPr="002770A7">
        <w:rPr>
          <w:rFonts w:ascii="Arial" w:eastAsia="Times New Roman" w:hAnsi="Arial" w:cs="Arial"/>
          <w:lang w:eastAsia="sk-SK"/>
        </w:rPr>
        <w:t>zníženie energetickej náročnosti, spotrieb za energie a nezvyšovania finančného zaťažovania BSK,</w:t>
      </w:r>
    </w:p>
    <w:p w:rsidR="00405CA4" w:rsidRPr="002770A7" w:rsidRDefault="00405CA4" w:rsidP="00B4731C">
      <w:pPr>
        <w:pStyle w:val="StrategiaBSK"/>
        <w:widowControl w:val="0"/>
        <w:numPr>
          <w:ilvl w:val="0"/>
          <w:numId w:val="36"/>
        </w:numPr>
        <w:spacing w:line="276" w:lineRule="auto"/>
        <w:ind w:left="709" w:hanging="142"/>
        <w:rPr>
          <w:rFonts w:ascii="Arial" w:eastAsia="Times New Roman" w:hAnsi="Arial" w:cs="Arial"/>
          <w:lang w:eastAsia="sk-SK"/>
        </w:rPr>
      </w:pPr>
      <w:r w:rsidRPr="002770A7">
        <w:rPr>
          <w:rFonts w:ascii="Arial" w:eastAsia="Times New Roman" w:hAnsi="Arial" w:cs="Arial"/>
          <w:lang w:eastAsia="sk-SK"/>
        </w:rPr>
        <w:t>viac zdrojové financovanie.</w:t>
      </w:r>
    </w:p>
    <w:p w:rsidR="00405CA4" w:rsidRPr="002770A7" w:rsidRDefault="00405CA4" w:rsidP="00B4731C">
      <w:pPr>
        <w:pStyle w:val="StrategiaBSK"/>
        <w:widowControl w:val="0"/>
        <w:shd w:val="clear" w:color="auto" w:fill="FFFFFF" w:themeFill="background1"/>
        <w:spacing w:line="276" w:lineRule="auto"/>
        <w:ind w:left="567" w:firstLine="0"/>
        <w:rPr>
          <w:rFonts w:ascii="Arial" w:eastAsia="Times New Roman" w:hAnsi="Arial" w:cs="Arial"/>
          <w:lang w:eastAsia="sk-SK"/>
        </w:rPr>
      </w:pPr>
    </w:p>
    <w:p w:rsidR="00405CA4" w:rsidRPr="002770A7" w:rsidRDefault="00405CA4" w:rsidP="00B4731C">
      <w:pPr>
        <w:pStyle w:val="StrategiaBSK"/>
        <w:widowControl w:val="0"/>
        <w:shd w:val="clear" w:color="auto" w:fill="FFFFFF" w:themeFill="background1"/>
        <w:spacing w:line="276" w:lineRule="auto"/>
        <w:ind w:firstLine="0"/>
        <w:rPr>
          <w:rFonts w:ascii="Arial" w:eastAsia="Times New Roman" w:hAnsi="Arial" w:cs="Arial"/>
          <w:b/>
          <w:lang w:eastAsia="sk-SK"/>
        </w:rPr>
      </w:pPr>
      <w:r w:rsidRPr="002770A7">
        <w:rPr>
          <w:rFonts w:ascii="Arial" w:eastAsia="Times New Roman" w:hAnsi="Arial" w:cs="Arial"/>
          <w:b/>
          <w:lang w:eastAsia="sk-SK"/>
        </w:rPr>
        <w:t>Rámcovo sa stratégia člení do nasledovných okruhov:</w:t>
      </w:r>
    </w:p>
    <w:p w:rsidR="00405CA4" w:rsidRPr="002770A7" w:rsidRDefault="00405CA4" w:rsidP="00B4731C">
      <w:pPr>
        <w:pStyle w:val="StrategiaBSK"/>
        <w:widowControl w:val="0"/>
        <w:numPr>
          <w:ilvl w:val="0"/>
          <w:numId w:val="37"/>
        </w:numPr>
        <w:shd w:val="clear" w:color="auto" w:fill="FFFFFF" w:themeFill="background1"/>
        <w:spacing w:line="276" w:lineRule="auto"/>
        <w:ind w:left="709" w:hanging="142"/>
        <w:rPr>
          <w:rFonts w:ascii="Arial" w:eastAsia="Times New Roman" w:hAnsi="Arial" w:cs="Arial"/>
          <w:lang w:eastAsia="sk-SK"/>
        </w:rPr>
      </w:pPr>
      <w:r w:rsidRPr="002770A7">
        <w:rPr>
          <w:rFonts w:ascii="Arial" w:eastAsia="Times New Roman" w:hAnsi="Arial" w:cs="Arial"/>
          <w:lang w:eastAsia="sk-SK"/>
        </w:rPr>
        <w:t>východiská stratégie vzhľadom na legislatívne prostredie,</w:t>
      </w:r>
    </w:p>
    <w:p w:rsidR="00405CA4" w:rsidRPr="002770A7" w:rsidRDefault="00405CA4" w:rsidP="00B4731C">
      <w:pPr>
        <w:pStyle w:val="StrategiaBSK"/>
        <w:widowControl w:val="0"/>
        <w:numPr>
          <w:ilvl w:val="0"/>
          <w:numId w:val="37"/>
        </w:numPr>
        <w:shd w:val="clear" w:color="auto" w:fill="FFFFFF" w:themeFill="background1"/>
        <w:spacing w:line="276" w:lineRule="auto"/>
        <w:ind w:left="709" w:hanging="142"/>
        <w:rPr>
          <w:rFonts w:ascii="Arial" w:eastAsia="Times New Roman" w:hAnsi="Arial" w:cs="Arial"/>
          <w:lang w:eastAsia="sk-SK"/>
        </w:rPr>
      </w:pPr>
      <w:r w:rsidRPr="002770A7">
        <w:rPr>
          <w:rFonts w:ascii="Arial" w:eastAsia="Times New Roman" w:hAnsi="Arial" w:cs="Arial"/>
          <w:lang w:eastAsia="sk-SK"/>
        </w:rPr>
        <w:t xml:space="preserve">analytická a strategická časť s prehľadom fondu budov, popisom ich základných stavebných parametrov, analýzou potreby energií, zhodnotením potenciálu opatrení za účelom zvyšovania energetickej hospodárnosti budov, návrhom optimalizácie nákladov, možností zvyšovania energetickej efektívnosti, </w:t>
      </w:r>
    </w:p>
    <w:p w:rsidR="00405CA4" w:rsidRPr="002770A7" w:rsidRDefault="00405CA4" w:rsidP="00B4731C">
      <w:pPr>
        <w:pStyle w:val="StrategiaBSK"/>
        <w:widowControl w:val="0"/>
        <w:numPr>
          <w:ilvl w:val="0"/>
          <w:numId w:val="37"/>
        </w:numPr>
        <w:shd w:val="clear" w:color="auto" w:fill="FFFFFF" w:themeFill="background1"/>
        <w:spacing w:line="276" w:lineRule="auto"/>
        <w:ind w:left="709" w:hanging="142"/>
        <w:rPr>
          <w:rFonts w:ascii="Arial" w:eastAsia="Times New Roman" w:hAnsi="Arial" w:cs="Arial"/>
          <w:lang w:eastAsia="sk-SK"/>
        </w:rPr>
      </w:pPr>
      <w:r w:rsidRPr="002770A7">
        <w:rPr>
          <w:rFonts w:ascii="Arial" w:eastAsia="Times New Roman" w:hAnsi="Arial" w:cs="Arial"/>
          <w:lang w:eastAsia="sk-SK"/>
        </w:rPr>
        <w:t>možnosti dostupných investičných a finančných nástrojov,</w:t>
      </w:r>
    </w:p>
    <w:p w:rsidR="00405CA4" w:rsidRPr="002770A7" w:rsidRDefault="00405CA4" w:rsidP="00B4731C">
      <w:pPr>
        <w:pStyle w:val="StrategiaBSK"/>
        <w:widowControl w:val="0"/>
        <w:numPr>
          <w:ilvl w:val="0"/>
          <w:numId w:val="37"/>
        </w:numPr>
        <w:shd w:val="clear" w:color="auto" w:fill="FFFFFF" w:themeFill="background1"/>
        <w:spacing w:line="276" w:lineRule="auto"/>
        <w:ind w:left="709" w:hanging="142"/>
        <w:rPr>
          <w:rFonts w:ascii="Arial" w:eastAsia="Times New Roman" w:hAnsi="Arial" w:cs="Arial"/>
          <w:lang w:eastAsia="sk-SK"/>
        </w:rPr>
      </w:pPr>
      <w:r w:rsidRPr="002770A7">
        <w:rPr>
          <w:rFonts w:ascii="Arial" w:eastAsia="Times New Roman" w:hAnsi="Arial" w:cs="Arial"/>
          <w:lang w:eastAsia="sk-SK"/>
        </w:rPr>
        <w:t>návrh akčného plánu činností a úloh pre naplnenie strategických cieľov.</w:t>
      </w:r>
    </w:p>
    <w:p w:rsidR="00BB14E8" w:rsidRPr="002770A7" w:rsidRDefault="00BB14E8" w:rsidP="00B4731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:rsidR="00BB14E8" w:rsidRDefault="00BB14E8" w:rsidP="00B4731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V </w:t>
      </w:r>
      <w:r w:rsidRPr="002770A7">
        <w:rPr>
          <w:rFonts w:ascii="Arial" w:hAnsi="Arial" w:cs="Arial"/>
          <w:i/>
          <w:sz w:val="22"/>
          <w:szCs w:val="22"/>
        </w:rPr>
        <w:t>Stratégií</w:t>
      </w:r>
      <w:r w:rsidRPr="002770A7">
        <w:rPr>
          <w:rFonts w:ascii="Arial" w:hAnsi="Arial" w:cs="Arial"/>
          <w:sz w:val="22"/>
          <w:szCs w:val="22"/>
        </w:rPr>
        <w:t xml:space="preserve"> autori popísali základné rozdelenie nehnuteľností vo vlastníctve BSK a možné spôsoby ich obnovy, identifikáciu nákladovo efektívnych prístupov k obnove a modernizácií týkajúcej sa najčastejších typov budov, vráta</w:t>
      </w:r>
      <w:r w:rsidR="00025893" w:rsidRPr="002770A7">
        <w:rPr>
          <w:rFonts w:ascii="Arial" w:hAnsi="Arial" w:cs="Arial"/>
          <w:sz w:val="22"/>
          <w:szCs w:val="22"/>
        </w:rPr>
        <w:t>ne postupnej modernizácie budov a </w:t>
      </w:r>
      <w:r w:rsidRPr="002770A7">
        <w:rPr>
          <w:rFonts w:ascii="Arial" w:hAnsi="Arial" w:cs="Arial"/>
          <w:sz w:val="22"/>
          <w:szCs w:val="22"/>
        </w:rPr>
        <w:t>navrh</w:t>
      </w:r>
      <w:r w:rsidR="00025893" w:rsidRPr="002770A7">
        <w:rPr>
          <w:rFonts w:ascii="Arial" w:hAnsi="Arial" w:cs="Arial"/>
          <w:sz w:val="22"/>
          <w:szCs w:val="22"/>
        </w:rPr>
        <w:t xml:space="preserve">li </w:t>
      </w:r>
      <w:r w:rsidRPr="002770A7">
        <w:rPr>
          <w:rFonts w:ascii="Arial" w:hAnsi="Arial" w:cs="Arial"/>
          <w:sz w:val="22"/>
          <w:szCs w:val="22"/>
        </w:rPr>
        <w:t>možné systémové riešenia na znižovanie energetickej náročnosti, aj keď zovšeobecneným spôsobom.</w:t>
      </w:r>
    </w:p>
    <w:p w:rsidR="00B4731C" w:rsidRPr="002770A7" w:rsidRDefault="00B4731C" w:rsidP="00B4731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:rsidR="00BB14E8" w:rsidRPr="002770A7" w:rsidRDefault="00BB14E8" w:rsidP="00B4731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 xml:space="preserve">Napokon na základe uvedeného v analytickej i syntetickej časti </w:t>
      </w:r>
      <w:r w:rsidRPr="002770A7">
        <w:rPr>
          <w:rFonts w:ascii="Arial" w:hAnsi="Arial" w:cs="Arial"/>
          <w:i/>
          <w:sz w:val="22"/>
          <w:szCs w:val="22"/>
        </w:rPr>
        <w:t xml:space="preserve">Stratégie, </w:t>
      </w:r>
      <w:r w:rsidRPr="002770A7">
        <w:rPr>
          <w:rFonts w:ascii="Arial" w:hAnsi="Arial" w:cs="Arial"/>
          <w:sz w:val="22"/>
          <w:szCs w:val="22"/>
        </w:rPr>
        <w:t>je možno hodnotiť ňou orientovanú koncepciu rozvoja energetického hospodárstva majetku BSK ad hoc v trojrozmernom kompetenčnom rozhodovacom procese aj takto:</w:t>
      </w:r>
    </w:p>
    <w:p w:rsidR="00BB14E8" w:rsidRPr="002770A7" w:rsidRDefault="00BB14E8" w:rsidP="00B4731C">
      <w:pPr>
        <w:pStyle w:val="Odsekzoznamu"/>
        <w:numPr>
          <w:ilvl w:val="0"/>
          <w:numId w:val="43"/>
        </w:numPr>
        <w:spacing w:line="276" w:lineRule="auto"/>
        <w:ind w:left="567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b/>
          <w:sz w:val="22"/>
          <w:szCs w:val="22"/>
        </w:rPr>
        <w:t>Rozmer globálny</w:t>
      </w:r>
      <w:r w:rsidRPr="002770A7">
        <w:rPr>
          <w:rFonts w:ascii="Arial" w:hAnsi="Arial" w:cs="Arial"/>
          <w:sz w:val="22"/>
          <w:szCs w:val="22"/>
        </w:rPr>
        <w:t xml:space="preserve">, vecná náplň akčného plánu kvantifikovaná v tejto etape orientačnými potenciálnymi číselnými hodnotami rastu efektívnosti, najmä </w:t>
      </w:r>
      <w:r w:rsidRPr="002770A7">
        <w:rPr>
          <w:rFonts w:ascii="Arial" w:hAnsi="Arial" w:cs="Arial"/>
          <w:b/>
          <w:sz w:val="22"/>
          <w:szCs w:val="22"/>
        </w:rPr>
        <w:t>znížením spotreby energie</w:t>
      </w:r>
      <w:r w:rsidRPr="002770A7">
        <w:rPr>
          <w:rFonts w:ascii="Arial" w:hAnsi="Arial" w:cs="Arial"/>
          <w:sz w:val="22"/>
          <w:szCs w:val="22"/>
        </w:rPr>
        <w:t xml:space="preserve">, umožňuje preukázať potenciál udržateľného rozvoja číselne relevantným znížením </w:t>
      </w:r>
      <w:proofErr w:type="spellStart"/>
      <w:r w:rsidRPr="002770A7">
        <w:rPr>
          <w:rFonts w:ascii="Arial" w:hAnsi="Arial" w:cs="Arial"/>
          <w:sz w:val="22"/>
          <w:szCs w:val="22"/>
        </w:rPr>
        <w:t>polutantov</w:t>
      </w:r>
      <w:proofErr w:type="spellEnd"/>
      <w:r w:rsidRPr="002770A7">
        <w:rPr>
          <w:rFonts w:ascii="Arial" w:hAnsi="Arial" w:cs="Arial"/>
          <w:sz w:val="22"/>
          <w:szCs w:val="22"/>
        </w:rPr>
        <w:t>, najmä CO</w:t>
      </w:r>
      <w:r w:rsidRPr="002770A7">
        <w:rPr>
          <w:rFonts w:ascii="Arial" w:hAnsi="Arial" w:cs="Arial"/>
          <w:sz w:val="22"/>
          <w:szCs w:val="22"/>
          <w:vertAlign w:val="subscript"/>
        </w:rPr>
        <w:t>2</w:t>
      </w:r>
      <w:r w:rsidRPr="002770A7">
        <w:rPr>
          <w:rFonts w:ascii="Arial" w:hAnsi="Arial" w:cs="Arial"/>
          <w:sz w:val="22"/>
          <w:szCs w:val="22"/>
        </w:rPr>
        <w:t xml:space="preserve">, v prípade využitia OZE sa efekt multiplikuje. Zníženie potreby energie napomáha eliminovať napätosť bilancie </w:t>
      </w:r>
      <w:r w:rsidRPr="002770A7">
        <w:rPr>
          <w:rFonts w:ascii="Arial" w:hAnsi="Arial" w:cs="Arial"/>
          <w:sz w:val="22"/>
          <w:szCs w:val="22"/>
        </w:rPr>
        <w:lastRenderedPageBreak/>
        <w:t>zahraničného účtu a v prípade využitia OZE sa priaznivo posunie úroveň energetickej bezpečnosti aj regionálne.</w:t>
      </w:r>
    </w:p>
    <w:p w:rsidR="00BB14E8" w:rsidRPr="002770A7" w:rsidRDefault="00BB14E8" w:rsidP="00B4731C">
      <w:pPr>
        <w:pStyle w:val="Odsekzoznamu"/>
        <w:numPr>
          <w:ilvl w:val="0"/>
          <w:numId w:val="43"/>
        </w:numPr>
        <w:spacing w:line="276" w:lineRule="auto"/>
        <w:ind w:left="567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b/>
          <w:sz w:val="22"/>
          <w:szCs w:val="22"/>
        </w:rPr>
        <w:t>Rozmer atraktívnosti pre investora</w:t>
      </w:r>
      <w:r w:rsidRPr="002770A7">
        <w:rPr>
          <w:rFonts w:ascii="Arial" w:hAnsi="Arial" w:cs="Arial"/>
          <w:sz w:val="22"/>
          <w:szCs w:val="22"/>
        </w:rPr>
        <w:t>, v časti spôsobov financovania modernizácie prezentovaná škála, umožňuje vybrať kombináciu pre rôzne typy zásahov do stavebných konštrukcii aj energetických zariadení s optimalizáciou, deľbou a manažmentom rizika.</w:t>
      </w:r>
    </w:p>
    <w:p w:rsidR="00BB14E8" w:rsidRPr="002770A7" w:rsidRDefault="00BB14E8" w:rsidP="00B4731C">
      <w:pPr>
        <w:pStyle w:val="Odsekzoznamu"/>
        <w:numPr>
          <w:ilvl w:val="0"/>
          <w:numId w:val="43"/>
        </w:numPr>
        <w:spacing w:line="276" w:lineRule="auto"/>
        <w:ind w:left="567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b/>
          <w:sz w:val="22"/>
          <w:szCs w:val="22"/>
        </w:rPr>
        <w:t>Rozmer dostupnosti platieb</w:t>
      </w:r>
      <w:r w:rsidRPr="002770A7">
        <w:rPr>
          <w:rFonts w:ascii="Arial" w:hAnsi="Arial" w:cs="Arial"/>
          <w:sz w:val="22"/>
          <w:szCs w:val="22"/>
        </w:rPr>
        <w:t xml:space="preserve">, v zmluvných vzorových návrhoch, uvedených v prílohách </w:t>
      </w:r>
      <w:r w:rsidRPr="002770A7">
        <w:rPr>
          <w:rFonts w:ascii="Arial" w:hAnsi="Arial" w:cs="Arial"/>
          <w:i/>
          <w:sz w:val="22"/>
          <w:szCs w:val="22"/>
        </w:rPr>
        <w:t>Stratégie,</w:t>
      </w:r>
      <w:r w:rsidRPr="002770A7">
        <w:rPr>
          <w:rFonts w:ascii="Arial" w:hAnsi="Arial" w:cs="Arial"/>
          <w:sz w:val="22"/>
          <w:szCs w:val="22"/>
        </w:rPr>
        <w:t xml:space="preserve"> je možno nájsť orientáciu splácania investície spôsobom z úspor tak, že </w:t>
      </w:r>
      <w:r w:rsidRPr="002770A7">
        <w:rPr>
          <w:rFonts w:ascii="Arial" w:hAnsi="Arial" w:cs="Arial"/>
          <w:b/>
          <w:sz w:val="22"/>
          <w:szCs w:val="22"/>
        </w:rPr>
        <w:t>neporastie nárok na zvýšenie verejného dlhu BSK</w:t>
      </w:r>
      <w:r w:rsidRPr="002770A7">
        <w:rPr>
          <w:rFonts w:ascii="Arial" w:hAnsi="Arial" w:cs="Arial"/>
          <w:sz w:val="22"/>
          <w:szCs w:val="22"/>
        </w:rPr>
        <w:t>.</w:t>
      </w:r>
    </w:p>
    <w:p w:rsidR="00B54B4C" w:rsidRDefault="00B54B4C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7C7894" w:rsidRDefault="007C7894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4B06A5" w:rsidRPr="002770A7" w:rsidRDefault="00FF6A0B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770A7">
        <w:rPr>
          <w:rFonts w:ascii="Arial" w:hAnsi="Arial" w:cs="Arial"/>
          <w:b/>
          <w:sz w:val="22"/>
          <w:szCs w:val="22"/>
        </w:rPr>
        <w:t>NÁVRHY OPATRENÍ VYCHÁDZAJÚCE ZO STRATÉGIE</w:t>
      </w:r>
    </w:p>
    <w:p w:rsidR="002257F5" w:rsidRPr="002770A7" w:rsidRDefault="002257F5" w:rsidP="00B4731C">
      <w:pPr>
        <w:spacing w:line="276" w:lineRule="auto"/>
        <w:jc w:val="both"/>
        <w:rPr>
          <w:rFonts w:ascii="Arial" w:hAnsi="Arial" w:cs="Arial"/>
          <w:i/>
          <w:sz w:val="22"/>
          <w:szCs w:val="22"/>
          <w:lang w:eastAsia="cs-CZ"/>
        </w:rPr>
      </w:pPr>
      <w:r w:rsidRPr="002770A7">
        <w:rPr>
          <w:rFonts w:ascii="Arial" w:hAnsi="Arial" w:cs="Arial"/>
          <w:i/>
          <w:sz w:val="22"/>
          <w:szCs w:val="22"/>
          <w:lang w:eastAsia="cs-CZ"/>
        </w:rPr>
        <w:t>(výber z kapitoly 4: SKUTKOVÝ STAV A MOŽNÉ OPATRENIA PRE ZVÝŠENIE, ENERGETICKEJ HOSPODÁRNOSTI BUDOV )</w:t>
      </w:r>
    </w:p>
    <w:p w:rsidR="00FF6A0B" w:rsidRPr="002770A7" w:rsidRDefault="00FF6A0B" w:rsidP="00B4731C">
      <w:pPr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</w:p>
    <w:p w:rsidR="00FF6A0B" w:rsidRPr="002770A7" w:rsidRDefault="00FF6A0B" w:rsidP="00B4731C">
      <w:pPr>
        <w:pStyle w:val="Bezriadkovania"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 xml:space="preserve">Doteraz uskutočnené opatrenia objektoch boli len reakciou na vzniknuté havarijné situácie alebo  technické  požiadavky budov na opravy a údržbu. Tieto  požiadavky nevychádzali z koncepčných zámerov, iba  riešili vzniknuté havarijné situácie na objektoch. Z toho dôvodu  je potrebné  pristúpiť k riešeniu energetických pomerov  na budovách v pôsobnosti  BSK  formou buď časovo menej náročných, menej zaťažujúcich </w:t>
      </w:r>
      <w:proofErr w:type="spellStart"/>
      <w:r w:rsidRPr="002770A7">
        <w:rPr>
          <w:rFonts w:ascii="Arial" w:hAnsi="Arial" w:cs="Arial"/>
          <w:sz w:val="22"/>
          <w:szCs w:val="22"/>
        </w:rPr>
        <w:t>energeticko</w:t>
      </w:r>
      <w:proofErr w:type="spellEnd"/>
      <w:r w:rsidR="00E84823" w:rsidRPr="002770A7">
        <w:rPr>
          <w:rFonts w:ascii="Arial" w:hAnsi="Arial" w:cs="Arial"/>
          <w:sz w:val="22"/>
          <w:szCs w:val="22"/>
        </w:rPr>
        <w:t xml:space="preserve"> </w:t>
      </w:r>
      <w:r w:rsidRPr="002770A7">
        <w:rPr>
          <w:rFonts w:ascii="Arial" w:hAnsi="Arial" w:cs="Arial"/>
          <w:sz w:val="22"/>
          <w:szCs w:val="22"/>
        </w:rPr>
        <w:t>–ekonomicko-technických analýz, alebo formou náročnejších komplexných energetických auditov. Nezanedbateľným dôvodom v prospech potreby vypracovania komplexných energetických auditov je fakt, že audit je neoddeliteľnou súčasťou  projektov  pre  čerpanie prostriedkov z operačných programov EU a jeho kvalitné spracovanie neraz v značnej miere rozhoduje o schválení projektu (to často platí aj pre bankové úvery a iné podporné systémy).</w:t>
      </w:r>
    </w:p>
    <w:p w:rsidR="00FF6A0B" w:rsidRPr="002770A7" w:rsidRDefault="00FF6A0B" w:rsidP="00B4731C">
      <w:pPr>
        <w:pStyle w:val="Bezriadkovania"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Je potrebné uviesť, že v tejto fáze (aktuálna situácia v BSK), nie je potrebné pre všetky budovy vykonať ani energetickú certifikáciu a ani energetické audity, ale evidenčné listy objektov, alebo technicko-ekonomické analýzy s návrhmi riešení, ktoré by umožňovali zaradenie budov do príslušných energetických tried v nasledujúcom období, ako aj plán obnovy budov, ktorý by obdobne, ako pre budovy ústredných orgánov štátnej správy zohľadňoval:</w:t>
      </w:r>
    </w:p>
    <w:p w:rsidR="00FF6A0B" w:rsidRPr="00B4731C" w:rsidRDefault="00FF6A0B" w:rsidP="00B4731C">
      <w:pPr>
        <w:pStyle w:val="Odsekzoznamu"/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4731C">
        <w:rPr>
          <w:rFonts w:ascii="Arial" w:hAnsi="Arial" w:cs="Arial"/>
          <w:sz w:val="22"/>
          <w:szCs w:val="22"/>
        </w:rPr>
        <w:t>najhoršiu energetickú hospodárnosť budovy,</w:t>
      </w:r>
    </w:p>
    <w:p w:rsidR="00FF6A0B" w:rsidRPr="00B4731C" w:rsidRDefault="00FF6A0B" w:rsidP="00B4731C">
      <w:pPr>
        <w:pStyle w:val="Odsekzoznamu"/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4731C">
        <w:rPr>
          <w:rFonts w:ascii="Arial" w:hAnsi="Arial" w:cs="Arial"/>
          <w:sz w:val="22"/>
          <w:szCs w:val="22"/>
        </w:rPr>
        <w:t>najvyššiu celkovú spotrebu energie budovy,</w:t>
      </w:r>
    </w:p>
    <w:p w:rsidR="00FF6A0B" w:rsidRPr="00B4731C" w:rsidRDefault="00FF6A0B" w:rsidP="00B4731C">
      <w:pPr>
        <w:pStyle w:val="Odsekzoznamu"/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4731C">
        <w:rPr>
          <w:rFonts w:ascii="Arial" w:hAnsi="Arial" w:cs="Arial"/>
          <w:sz w:val="22"/>
          <w:szCs w:val="22"/>
        </w:rPr>
        <w:t>potenciál úspory energie budovy,</w:t>
      </w:r>
    </w:p>
    <w:p w:rsidR="00FF6A0B" w:rsidRPr="00B4731C" w:rsidRDefault="00FF6A0B" w:rsidP="00B4731C">
      <w:pPr>
        <w:pStyle w:val="Odsekzoznamu"/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4731C">
        <w:rPr>
          <w:rFonts w:ascii="Arial" w:hAnsi="Arial" w:cs="Arial"/>
          <w:sz w:val="22"/>
          <w:szCs w:val="22"/>
        </w:rPr>
        <w:t>dobu užívania budovy,</w:t>
      </w:r>
    </w:p>
    <w:p w:rsidR="00FF6A0B" w:rsidRPr="00B4731C" w:rsidRDefault="00FF6A0B" w:rsidP="00B4731C">
      <w:pPr>
        <w:pStyle w:val="Odsekzoznamu"/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4731C">
        <w:rPr>
          <w:rFonts w:ascii="Arial" w:hAnsi="Arial" w:cs="Arial"/>
          <w:sz w:val="22"/>
          <w:szCs w:val="22"/>
        </w:rPr>
        <w:t>vek budovy,</w:t>
      </w:r>
    </w:p>
    <w:p w:rsidR="00FF6A0B" w:rsidRPr="00B4731C" w:rsidRDefault="00FF6A0B" w:rsidP="00B4731C">
      <w:pPr>
        <w:pStyle w:val="Odsekzoznamu"/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4731C">
        <w:rPr>
          <w:rFonts w:ascii="Arial" w:hAnsi="Arial" w:cs="Arial"/>
          <w:sz w:val="22"/>
          <w:szCs w:val="22"/>
        </w:rPr>
        <w:t>dlhodobá využiteľnosť budovy,</w:t>
      </w:r>
    </w:p>
    <w:p w:rsidR="00FF6A0B" w:rsidRPr="00B4731C" w:rsidRDefault="00FF6A0B" w:rsidP="00B4731C">
      <w:pPr>
        <w:pStyle w:val="Odsekzoznamu"/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4731C">
        <w:rPr>
          <w:rFonts w:ascii="Arial" w:hAnsi="Arial" w:cs="Arial"/>
          <w:sz w:val="22"/>
          <w:szCs w:val="22"/>
        </w:rPr>
        <w:t>špecifické náklady na jednotku úspory energie vyčíslené na základe odborného odhadu,</w:t>
      </w:r>
    </w:p>
    <w:p w:rsidR="00FF6A0B" w:rsidRPr="00B4731C" w:rsidRDefault="00FF6A0B" w:rsidP="00B4731C">
      <w:pPr>
        <w:pStyle w:val="Odsekzoznamu"/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4731C">
        <w:rPr>
          <w:rFonts w:ascii="Arial" w:hAnsi="Arial" w:cs="Arial"/>
          <w:sz w:val="22"/>
          <w:szCs w:val="22"/>
        </w:rPr>
        <w:t>možnosti financovania obnovy budovy,</w:t>
      </w:r>
    </w:p>
    <w:p w:rsidR="00FF6A0B" w:rsidRPr="002770A7" w:rsidRDefault="00FF6A0B" w:rsidP="00B4731C">
      <w:pPr>
        <w:pStyle w:val="Bezriadkovania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mieru ekonomickej výkonnosti regiónu, v ktorom sa budova nachádza.</w:t>
      </w:r>
    </w:p>
    <w:p w:rsidR="00FF6A0B" w:rsidRPr="002770A7" w:rsidRDefault="00FF6A0B" w:rsidP="00B4731C">
      <w:pPr>
        <w:pStyle w:val="Bezriadkovania"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:rsidR="00FF6A0B" w:rsidRPr="002770A7" w:rsidRDefault="00FF6A0B" w:rsidP="00B4731C">
      <w:pPr>
        <w:pStyle w:val="Bezriadkovania"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Na základe uvedeného, by boli následne vypracovávané i prípadn</w:t>
      </w:r>
      <w:r w:rsidR="00025893" w:rsidRPr="002770A7">
        <w:rPr>
          <w:rFonts w:ascii="Arial" w:hAnsi="Arial" w:cs="Arial"/>
          <w:sz w:val="22"/>
          <w:szCs w:val="22"/>
        </w:rPr>
        <w:t>é</w:t>
      </w:r>
      <w:r w:rsidRPr="002770A7">
        <w:rPr>
          <w:rFonts w:ascii="Arial" w:hAnsi="Arial" w:cs="Arial"/>
          <w:sz w:val="22"/>
          <w:szCs w:val="22"/>
        </w:rPr>
        <w:t xml:space="preserve"> energetické audity pre objekty, ktoré by pre zvolený druh financovania vyžadovali realizácie komplexných energetických auditov. Analýza by však umožňovala najrýchlejšie vyhodnotenie a porovnávanie energetickej hospodárnosti jednotlivých objektov a umožňovala porovnávať objekty v priamej  nadväznosti na niektoré konkrétne opatrenia. V predkladanom </w:t>
      </w:r>
      <w:r w:rsidRPr="002770A7">
        <w:rPr>
          <w:rFonts w:ascii="Arial" w:hAnsi="Arial" w:cs="Arial"/>
          <w:sz w:val="22"/>
          <w:szCs w:val="22"/>
        </w:rPr>
        <w:lastRenderedPageBreak/>
        <w:t>vyhodnotení je potrebné sa zamerať na vyhodnotenia nasledovných  základných opatrení, realizáciou ktorých budú dosahované obvykle najvyššie úspory energií a nákladov na energie, ako aj zabezpečia splnenie sankcio</w:t>
      </w:r>
      <w:r w:rsidR="002257F5" w:rsidRPr="002770A7">
        <w:rPr>
          <w:rFonts w:ascii="Arial" w:hAnsi="Arial" w:cs="Arial"/>
          <w:sz w:val="22"/>
          <w:szCs w:val="22"/>
        </w:rPr>
        <w:t>no</w:t>
      </w:r>
      <w:r w:rsidRPr="002770A7">
        <w:rPr>
          <w:rFonts w:ascii="Arial" w:hAnsi="Arial" w:cs="Arial"/>
          <w:sz w:val="22"/>
          <w:szCs w:val="22"/>
        </w:rPr>
        <w:t>vateľných povinností vlastníka budovy s celkovou podlahou väčšou ako 1000 m</w:t>
      </w:r>
      <w:r w:rsidRPr="002770A7">
        <w:rPr>
          <w:rFonts w:ascii="Arial" w:hAnsi="Arial" w:cs="Arial"/>
          <w:sz w:val="22"/>
          <w:szCs w:val="22"/>
          <w:vertAlign w:val="superscript"/>
        </w:rPr>
        <w:t>2</w:t>
      </w:r>
      <w:r w:rsidRPr="002770A7">
        <w:rPr>
          <w:rFonts w:ascii="Arial" w:hAnsi="Arial" w:cs="Arial"/>
          <w:sz w:val="22"/>
          <w:szCs w:val="22"/>
        </w:rPr>
        <w:t xml:space="preserve"> s ústredným teplovodným vykurovaním, resp. so spoločnou prípravou teplej vody vyplývajúce so zák. č.321/2014 Z. z. o energetickej efektívnosti v termíne do 31.12.2015:</w:t>
      </w:r>
    </w:p>
    <w:p w:rsidR="00FF6A0B" w:rsidRPr="002770A7" w:rsidRDefault="00FF6A0B" w:rsidP="00B4731C">
      <w:pPr>
        <w:pStyle w:val="Bezriadkovania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zateplenie obvodových stien,</w:t>
      </w:r>
    </w:p>
    <w:p w:rsidR="00FF6A0B" w:rsidRPr="002770A7" w:rsidRDefault="00FF6A0B" w:rsidP="00B4731C">
      <w:pPr>
        <w:pStyle w:val="Bezriadkovania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zateplenie strechy,</w:t>
      </w:r>
    </w:p>
    <w:p w:rsidR="00FF6A0B" w:rsidRPr="002770A7" w:rsidRDefault="00FF6A0B" w:rsidP="00B4731C">
      <w:pPr>
        <w:pStyle w:val="Bezriadkovania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výmena okien (výplňových  konštrukcií),</w:t>
      </w:r>
    </w:p>
    <w:p w:rsidR="00FF6A0B" w:rsidRPr="002770A7" w:rsidRDefault="00FF6A0B" w:rsidP="00B4731C">
      <w:pPr>
        <w:pStyle w:val="Bezriadkovania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inštalácia termoregulačných ventilov (TRV), tzv. automatická regulácia parametrov teplonosnej látky na každom tepelnom spotrebiči, v závislosti od teploty vzduchu vo vykurovaných miestnostiach s dlhodobým pobytom osôb a hydraulického vyregulovania vykurovacieho systému (HRV) v budove - §11 ods.1a) a 1b),</w:t>
      </w:r>
    </w:p>
    <w:p w:rsidR="00FF6A0B" w:rsidRPr="002770A7" w:rsidRDefault="00FF6A0B" w:rsidP="00B4731C">
      <w:pPr>
        <w:pStyle w:val="Bezriadkovania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zabezpečiť a udržiavať hydraulicky vyregulované rozvody teplej vody - §11 ods.1c),</w:t>
      </w:r>
    </w:p>
    <w:p w:rsidR="00FF6A0B" w:rsidRPr="002770A7" w:rsidRDefault="00FF6A0B" w:rsidP="00B4731C">
      <w:pPr>
        <w:pStyle w:val="Bezriadkovania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vybaviť rozvody tepla a teplej vody vhodnou tepelnou izoláciou,</w:t>
      </w:r>
    </w:p>
    <w:p w:rsidR="00FF6A0B" w:rsidRPr="002770A7" w:rsidRDefault="00FF6A0B" w:rsidP="00B4731C">
      <w:pPr>
        <w:pStyle w:val="Bezriadkovania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inštalácia objektovej regulácie.</w:t>
      </w:r>
    </w:p>
    <w:p w:rsidR="00FF6A0B" w:rsidRPr="002770A7" w:rsidRDefault="00FF6A0B" w:rsidP="00B4731C">
      <w:pPr>
        <w:pStyle w:val="Bezriadkovania"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:rsidR="00FF6A0B" w:rsidRPr="002770A7" w:rsidRDefault="00FF6A0B" w:rsidP="00B4731C">
      <w:pPr>
        <w:pStyle w:val="Bezriadkovania"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 xml:space="preserve">Podľa  konkrétnych  podmienok a stavu  objektov, by mali byť odporúčané aj  iné  opatrenia menšieho rozsahu a menšieho významu, ktoré bude v daných objektoch potrebné uskutočniť v súvislosti s celkovým riešením prevádzkovania objektov, alebo v súvislosti so zaistením štandardných podmienok využitia budov, alebo napr. primeranej tepelnej pohody v objektoch. </w:t>
      </w:r>
    </w:p>
    <w:p w:rsidR="00FF6A0B" w:rsidRPr="002770A7" w:rsidRDefault="00FF6A0B" w:rsidP="00B4731C">
      <w:pPr>
        <w:pStyle w:val="Bezriadkovania"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Ekonomické  vyhodnotenie   navrhovaných  opatrení bude v jednotlivých objektoch realizované po stanovení požadovaného rozsahu toho ktorého opatrenia, na základe cenovej úrovne navrhovaného opatrenia, a na základe stanovenej energetickej a finančnej úspory vyplývajúcej z realizácie opatrenia.</w:t>
      </w:r>
    </w:p>
    <w:p w:rsidR="00FF6A0B" w:rsidRPr="002770A7" w:rsidRDefault="00FF6A0B" w:rsidP="00B4731C">
      <w:pPr>
        <w:pStyle w:val="Bezriadkovania"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Pri posudzovaní objektov si ale musíme byť vedomí, že niektoré objekty sú prevádzkované a udržiavané aj silou vôle riaditeľov a aj celých kolektívov. Tam sú relatívne nízke prevádzkové náklady dosahované obetavým prístupom vedenia a zodpovedných pracovníkov.</w:t>
      </w:r>
    </w:p>
    <w:p w:rsidR="00FF6A0B" w:rsidRPr="002770A7" w:rsidRDefault="00FF6A0B" w:rsidP="00B4731C">
      <w:pPr>
        <w:pStyle w:val="Bezriadkovania"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Je dôležité zdôrazniť, že doba návratnosti nie je ovplyvnená len výškou investície, ale aj vyčíslenou úsporou po jej realizácii, ktorá v prípade niektorých objektov vplyvom technológie stavby a súčasných tepelnoizolačných vlastností objektu môže byť  minimálna.</w:t>
      </w:r>
    </w:p>
    <w:p w:rsidR="00FF6A0B" w:rsidRPr="002770A7" w:rsidRDefault="00FF6A0B" w:rsidP="00B4731C">
      <w:pPr>
        <w:pStyle w:val="Bezriadkovania"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Pri navrhovaní priorít v uskutočňovaní opatrení na budovách je dôležité posúdiť vzájomný súlad výšky investície, doby jej návratnosti a tiež nákladovosti na klienta, pre ktorého je daný objekt využívaný, napr. v školách na žiaka, v nemocniciach na pacienta, v domovoch sociálnych služieb na  dôchodcu a podobne, spolu s dosiahnutou úsporou na klienta.</w:t>
      </w:r>
    </w:p>
    <w:p w:rsidR="00FF6A0B" w:rsidRPr="002770A7" w:rsidRDefault="00FF6A0B" w:rsidP="00B4731C">
      <w:pPr>
        <w:pStyle w:val="Bezriadkovania"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:rsidR="00E84823" w:rsidRPr="002770A7" w:rsidRDefault="00FF6A0B" w:rsidP="00B4731C">
      <w:pPr>
        <w:pStyle w:val="Bezriadkovania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770A7">
        <w:rPr>
          <w:rFonts w:ascii="Arial" w:hAnsi="Arial" w:cs="Arial"/>
          <w:b/>
          <w:sz w:val="22"/>
          <w:szCs w:val="22"/>
        </w:rPr>
        <w:t>Na základe vyššie uvedeného o</w:t>
      </w:r>
      <w:r w:rsidR="002257F5" w:rsidRPr="002770A7">
        <w:rPr>
          <w:rFonts w:ascii="Arial" w:hAnsi="Arial" w:cs="Arial"/>
          <w:b/>
          <w:sz w:val="22"/>
          <w:szCs w:val="22"/>
        </w:rPr>
        <w:t>dporúča</w:t>
      </w:r>
      <w:r w:rsidRPr="002770A7">
        <w:rPr>
          <w:rFonts w:ascii="Arial" w:hAnsi="Arial" w:cs="Arial"/>
          <w:b/>
          <w:sz w:val="22"/>
          <w:szCs w:val="22"/>
        </w:rPr>
        <w:t>me:</w:t>
      </w:r>
    </w:p>
    <w:p w:rsidR="00E84823" w:rsidRPr="002770A7" w:rsidRDefault="00FF6A0B" w:rsidP="00B4731C">
      <w:pPr>
        <w:pStyle w:val="Bezriadkovania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vypracovať evidenčné listy objektov podľa prílohy č. 4,</w:t>
      </w:r>
    </w:p>
    <w:p w:rsidR="00E84823" w:rsidRPr="002770A7" w:rsidRDefault="00FF6A0B" w:rsidP="00B4731C">
      <w:pPr>
        <w:pStyle w:val="Bezriadkovania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pri realizácii analýz využívať metodiku, ktorá je stručne popísaná v prílohe č. 5,</w:t>
      </w:r>
    </w:p>
    <w:p w:rsidR="00E84823" w:rsidRPr="002770A7" w:rsidRDefault="00FF6A0B" w:rsidP="00B4731C">
      <w:pPr>
        <w:pStyle w:val="Bezriadkovania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v rámci analýz využiť typové evidenčné a výpočtové vzory, z ktorých je najdôležitejšia časť v prílohe č. 6.</w:t>
      </w:r>
    </w:p>
    <w:p w:rsidR="00FF6A0B" w:rsidRPr="002770A7" w:rsidRDefault="00FF6A0B" w:rsidP="00B4731C">
      <w:pPr>
        <w:pStyle w:val="Bezriadkovania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výstupy analýz z bodu 3. doplniť grafickým porovnaním:</w:t>
      </w:r>
    </w:p>
    <w:p w:rsidR="00FF6A0B" w:rsidRPr="002770A7" w:rsidRDefault="00FF6A0B" w:rsidP="00B4731C">
      <w:pPr>
        <w:pStyle w:val="Bezriadkovania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lastRenderedPageBreak/>
        <w:t>investícií a úspor energií pre jednotlivé opatrenia,</w:t>
      </w:r>
    </w:p>
    <w:p w:rsidR="00FF6A0B" w:rsidRPr="002770A7" w:rsidRDefault="00FF6A0B" w:rsidP="00B4731C">
      <w:pPr>
        <w:pStyle w:val="Bezriadkovania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výšky investícií na jednotlivé opatrenia,</w:t>
      </w:r>
    </w:p>
    <w:p w:rsidR="00FF6A0B" w:rsidRPr="002770A7" w:rsidRDefault="00FF6A0B" w:rsidP="00B4731C">
      <w:pPr>
        <w:pStyle w:val="Bezriadkovania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výšky úspor energií podľa druhu opatrenia,</w:t>
      </w:r>
    </w:p>
    <w:p w:rsidR="00FF6A0B" w:rsidRPr="002770A7" w:rsidRDefault="00FF6A0B" w:rsidP="00B4731C">
      <w:pPr>
        <w:pStyle w:val="Bezriadkovania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>výšky úspor pri rôznych kombináciách opatrení,</w:t>
      </w:r>
    </w:p>
    <w:p w:rsidR="00FF6A0B" w:rsidRPr="002770A7" w:rsidRDefault="00FF6A0B" w:rsidP="00B4731C">
      <w:pPr>
        <w:pStyle w:val="Bezriadkovania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sz w:val="22"/>
          <w:szCs w:val="22"/>
        </w:rPr>
        <w:t xml:space="preserve">návratnosť podľa druhu opatrenia, popr. ich kombinácií. </w:t>
      </w:r>
    </w:p>
    <w:p w:rsidR="009E54CA" w:rsidRPr="002770A7" w:rsidRDefault="009E54CA" w:rsidP="00B4731C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FE3D4E" w:rsidRDefault="00FE3D4E" w:rsidP="00B4731C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2257F5" w:rsidRPr="002770A7" w:rsidRDefault="002257F5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770A7">
        <w:rPr>
          <w:rFonts w:ascii="Arial" w:hAnsi="Arial" w:cs="Arial"/>
          <w:b/>
          <w:sz w:val="22"/>
          <w:szCs w:val="22"/>
        </w:rPr>
        <w:t>AKČNÝ PLÁN NAVRHOVANÝ V STRATÉGII</w:t>
      </w:r>
    </w:p>
    <w:p w:rsidR="002257F5" w:rsidRPr="002770A7" w:rsidRDefault="002257F5" w:rsidP="00B4731C">
      <w:pPr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</w:p>
    <w:p w:rsidR="00BB14E8" w:rsidRPr="002770A7" w:rsidRDefault="002257F5" w:rsidP="00B4731C">
      <w:pPr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2770A7">
        <w:rPr>
          <w:rFonts w:ascii="Arial" w:hAnsi="Arial" w:cs="Arial"/>
          <w:sz w:val="22"/>
          <w:szCs w:val="22"/>
          <w:lang w:eastAsia="cs-CZ"/>
        </w:rPr>
        <w:tab/>
        <w:t xml:space="preserve">Autori Stratégie na základe posúdenia situácie v portfóliu budov BSK a najmä na základe svojich odborných skúseností </w:t>
      </w:r>
      <w:r w:rsidR="00E84823" w:rsidRPr="002770A7">
        <w:rPr>
          <w:rFonts w:ascii="Arial" w:hAnsi="Arial" w:cs="Arial"/>
          <w:sz w:val="22"/>
          <w:szCs w:val="22"/>
          <w:lang w:eastAsia="cs-CZ"/>
        </w:rPr>
        <w:t>navrhli dve varianty A</w:t>
      </w:r>
      <w:r w:rsidRPr="002770A7">
        <w:rPr>
          <w:rFonts w:ascii="Arial" w:hAnsi="Arial" w:cs="Arial"/>
          <w:sz w:val="22"/>
          <w:szCs w:val="22"/>
          <w:lang w:eastAsia="cs-CZ"/>
        </w:rPr>
        <w:t xml:space="preserve">kčného plánu </w:t>
      </w:r>
      <w:r w:rsidR="00BB14E8" w:rsidRPr="002770A7">
        <w:rPr>
          <w:rFonts w:ascii="Arial" w:hAnsi="Arial" w:cs="Arial"/>
          <w:sz w:val="22"/>
          <w:szCs w:val="22"/>
          <w:lang w:eastAsia="cs-CZ"/>
        </w:rPr>
        <w:t xml:space="preserve">a to: </w:t>
      </w:r>
    </w:p>
    <w:p w:rsidR="00BB14E8" w:rsidRPr="002770A7" w:rsidRDefault="00BB14E8" w:rsidP="00B4731C">
      <w:pPr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</w:p>
    <w:p w:rsidR="00BB14E8" w:rsidRPr="002770A7" w:rsidRDefault="00BF42E6" w:rsidP="00B4731C">
      <w:pPr>
        <w:pStyle w:val="Bezriadkovania"/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b/>
          <w:sz w:val="22"/>
          <w:szCs w:val="22"/>
        </w:rPr>
        <w:t xml:space="preserve">Variant A.: </w:t>
      </w:r>
      <w:r w:rsidR="00BB14E8" w:rsidRPr="002770A7">
        <w:rPr>
          <w:rFonts w:ascii="Arial" w:hAnsi="Arial" w:cs="Arial"/>
          <w:sz w:val="22"/>
          <w:szCs w:val="22"/>
        </w:rPr>
        <w:t>Viaczložkové financovanie postavené na strategickom energetickom partnerovi a garantovanej energetickej službe v súlade so smernicami Európskej únie, ako aj legislatívnymi predpismi SR.</w:t>
      </w:r>
    </w:p>
    <w:p w:rsidR="00BF42E6" w:rsidRPr="002770A7" w:rsidRDefault="00BF42E6" w:rsidP="00B4731C">
      <w:pPr>
        <w:pStyle w:val="Bezriadkovania"/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B14E8" w:rsidRPr="002770A7" w:rsidRDefault="00BF42E6" w:rsidP="00B4731C">
      <w:pPr>
        <w:pStyle w:val="Bezriadkovania"/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70A7">
        <w:rPr>
          <w:rFonts w:ascii="Arial" w:hAnsi="Arial" w:cs="Arial"/>
          <w:b/>
          <w:sz w:val="22"/>
          <w:szCs w:val="22"/>
        </w:rPr>
        <w:t xml:space="preserve">Variant B.: </w:t>
      </w:r>
      <w:r w:rsidR="00BB14E8" w:rsidRPr="002770A7">
        <w:rPr>
          <w:rFonts w:ascii="Arial" w:hAnsi="Arial" w:cs="Arial"/>
          <w:sz w:val="22"/>
          <w:szCs w:val="22"/>
        </w:rPr>
        <w:t>Financovanie z grantov, bankov</w:t>
      </w:r>
      <w:r w:rsidR="00E84823" w:rsidRPr="002770A7">
        <w:rPr>
          <w:rFonts w:ascii="Arial" w:hAnsi="Arial" w:cs="Arial"/>
          <w:sz w:val="22"/>
          <w:szCs w:val="22"/>
        </w:rPr>
        <w:t>ých úverov, vlastných zdrojov VÚ</w:t>
      </w:r>
      <w:r w:rsidR="00BB14E8" w:rsidRPr="002770A7">
        <w:rPr>
          <w:rFonts w:ascii="Arial" w:hAnsi="Arial" w:cs="Arial"/>
          <w:sz w:val="22"/>
          <w:szCs w:val="22"/>
        </w:rPr>
        <w:t>C BSK za realizácie výberových konaní, spracovania jednotlivých energetických podkladov, výberov buď vlast</w:t>
      </w:r>
      <w:r w:rsidR="00E84823" w:rsidRPr="002770A7">
        <w:rPr>
          <w:rFonts w:ascii="Arial" w:hAnsi="Arial" w:cs="Arial"/>
          <w:sz w:val="22"/>
          <w:szCs w:val="22"/>
        </w:rPr>
        <w:t>nými pracovníkmi VÚ</w:t>
      </w:r>
      <w:r w:rsidR="00BB14E8" w:rsidRPr="002770A7">
        <w:rPr>
          <w:rFonts w:ascii="Arial" w:hAnsi="Arial" w:cs="Arial"/>
          <w:sz w:val="22"/>
          <w:szCs w:val="22"/>
        </w:rPr>
        <w:t>C resp. externými organizáciami.</w:t>
      </w:r>
    </w:p>
    <w:p w:rsidR="002257F5" w:rsidRPr="002770A7" w:rsidRDefault="002257F5" w:rsidP="00B4731C">
      <w:pPr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2770A7">
        <w:rPr>
          <w:rFonts w:ascii="Arial" w:hAnsi="Arial" w:cs="Arial"/>
          <w:sz w:val="22"/>
          <w:szCs w:val="22"/>
          <w:lang w:eastAsia="cs-CZ"/>
        </w:rPr>
        <w:t xml:space="preserve">  </w:t>
      </w:r>
    </w:p>
    <w:p w:rsidR="00544DDE" w:rsidRPr="002770A7" w:rsidRDefault="00544DDE" w:rsidP="00B4731C">
      <w:pPr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2770A7">
        <w:rPr>
          <w:rFonts w:ascii="Arial" w:hAnsi="Arial" w:cs="Arial"/>
          <w:sz w:val="22"/>
          <w:szCs w:val="22"/>
          <w:lang w:eastAsia="cs-CZ"/>
        </w:rPr>
        <w:t>Pre obe varianty akčného plánu v Stratégií autori uvádzajú podrobný rozp</w:t>
      </w:r>
      <w:r w:rsidR="00BF42E6" w:rsidRPr="002770A7">
        <w:rPr>
          <w:rFonts w:ascii="Arial" w:hAnsi="Arial" w:cs="Arial"/>
          <w:sz w:val="22"/>
          <w:szCs w:val="22"/>
          <w:lang w:eastAsia="cs-CZ"/>
        </w:rPr>
        <w:t xml:space="preserve">is opatrení a odborný komentár v rámci kapitoly č.6. </w:t>
      </w:r>
      <w:r w:rsidR="00E84823" w:rsidRPr="002770A7">
        <w:rPr>
          <w:rFonts w:ascii="Arial" w:hAnsi="Arial" w:cs="Arial"/>
          <w:sz w:val="22"/>
          <w:szCs w:val="22"/>
          <w:lang w:eastAsia="cs-CZ"/>
        </w:rPr>
        <w:t>„</w:t>
      </w:r>
      <w:r w:rsidR="00BF42E6" w:rsidRPr="002770A7">
        <w:rPr>
          <w:rFonts w:ascii="Arial" w:hAnsi="Arial" w:cs="Arial"/>
          <w:sz w:val="22"/>
          <w:szCs w:val="22"/>
          <w:lang w:eastAsia="cs-CZ"/>
        </w:rPr>
        <w:t>Návrh akčného plánu činností a úloh zvyšovania energetickej efektívnosti.</w:t>
      </w:r>
      <w:r w:rsidR="00E84823" w:rsidRPr="002770A7">
        <w:rPr>
          <w:rFonts w:ascii="Arial" w:hAnsi="Arial" w:cs="Arial"/>
          <w:sz w:val="22"/>
          <w:szCs w:val="22"/>
          <w:lang w:eastAsia="cs-CZ"/>
        </w:rPr>
        <w:t>“</w:t>
      </w:r>
    </w:p>
    <w:p w:rsidR="00E84823" w:rsidRDefault="00E84823" w:rsidP="00B4731C">
      <w:pPr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</w:p>
    <w:p w:rsidR="00B4731C" w:rsidRPr="002770A7" w:rsidRDefault="00B4731C" w:rsidP="00B4731C">
      <w:pPr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</w:p>
    <w:p w:rsidR="00544DDE" w:rsidRDefault="00544DDE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770A7">
        <w:rPr>
          <w:rFonts w:ascii="Arial" w:hAnsi="Arial" w:cs="Arial"/>
          <w:b/>
          <w:sz w:val="22"/>
          <w:szCs w:val="22"/>
        </w:rPr>
        <w:t>ZÁVER</w:t>
      </w:r>
    </w:p>
    <w:p w:rsidR="00B4731C" w:rsidRPr="002770A7" w:rsidRDefault="00B4731C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2257F5" w:rsidRPr="002770A7" w:rsidRDefault="00544DDE" w:rsidP="00B4731C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cs-CZ"/>
        </w:rPr>
      </w:pPr>
      <w:r w:rsidRPr="002770A7">
        <w:rPr>
          <w:rFonts w:ascii="Arial" w:hAnsi="Arial" w:cs="Arial"/>
          <w:b/>
          <w:sz w:val="22"/>
          <w:szCs w:val="22"/>
          <w:lang w:eastAsia="cs-CZ"/>
        </w:rPr>
        <w:tab/>
        <w:t xml:space="preserve">Autori Stratégie na základe posúdenia situácie v portfóliu budov BSK a najmä </w:t>
      </w:r>
      <w:r w:rsidR="00DA7575" w:rsidRPr="002770A7">
        <w:rPr>
          <w:rFonts w:ascii="Arial" w:hAnsi="Arial" w:cs="Arial"/>
          <w:b/>
          <w:sz w:val="22"/>
          <w:szCs w:val="22"/>
          <w:lang w:eastAsia="cs-CZ"/>
        </w:rPr>
        <w:t>svojich</w:t>
      </w:r>
      <w:r w:rsidRPr="002770A7">
        <w:rPr>
          <w:rFonts w:ascii="Arial" w:hAnsi="Arial" w:cs="Arial"/>
          <w:b/>
          <w:sz w:val="22"/>
          <w:szCs w:val="22"/>
          <w:lang w:eastAsia="cs-CZ"/>
        </w:rPr>
        <w:t xml:space="preserve"> skúsenosti predstavujú</w:t>
      </w:r>
      <w:r w:rsidR="00DA7575" w:rsidRPr="002770A7">
        <w:rPr>
          <w:rFonts w:ascii="Arial" w:hAnsi="Arial" w:cs="Arial"/>
          <w:b/>
          <w:sz w:val="22"/>
          <w:szCs w:val="22"/>
          <w:lang w:eastAsia="cs-CZ"/>
        </w:rPr>
        <w:t xml:space="preserve"> odborný pohľad so súborom odporúčaní pre jednotlivé oblasti, v ktorých je možné dosiahnuť zvyšovanie energetických úspor. Dokument poskytuje </w:t>
      </w:r>
      <w:r w:rsidR="00C8228F" w:rsidRPr="002770A7">
        <w:rPr>
          <w:rFonts w:ascii="Arial" w:hAnsi="Arial" w:cs="Arial"/>
          <w:b/>
          <w:sz w:val="22"/>
          <w:szCs w:val="22"/>
          <w:lang w:eastAsia="cs-CZ"/>
        </w:rPr>
        <w:t>prehľad aj návr</w:t>
      </w:r>
      <w:r w:rsidR="00E84823" w:rsidRPr="002770A7">
        <w:rPr>
          <w:rFonts w:ascii="Arial" w:hAnsi="Arial" w:cs="Arial"/>
          <w:b/>
          <w:sz w:val="22"/>
          <w:szCs w:val="22"/>
          <w:lang w:eastAsia="cs-CZ"/>
        </w:rPr>
        <w:t>h riešení formou dvoch variant A</w:t>
      </w:r>
      <w:r w:rsidR="00C8228F" w:rsidRPr="002770A7">
        <w:rPr>
          <w:rFonts w:ascii="Arial" w:hAnsi="Arial" w:cs="Arial"/>
          <w:b/>
          <w:sz w:val="22"/>
          <w:szCs w:val="22"/>
          <w:lang w:eastAsia="cs-CZ"/>
        </w:rPr>
        <w:t xml:space="preserve">kčného plánu, avšak rozhodnutie ponecháva na kompetentné útvary BSK, aby podľa možnosti Úradu </w:t>
      </w:r>
      <w:r w:rsidR="00E84823" w:rsidRPr="002770A7">
        <w:rPr>
          <w:rFonts w:ascii="Arial" w:hAnsi="Arial" w:cs="Arial"/>
          <w:b/>
          <w:sz w:val="22"/>
          <w:szCs w:val="22"/>
          <w:lang w:eastAsia="cs-CZ"/>
        </w:rPr>
        <w:t xml:space="preserve">BSK </w:t>
      </w:r>
      <w:r w:rsidR="00C8228F" w:rsidRPr="002770A7">
        <w:rPr>
          <w:rFonts w:ascii="Arial" w:hAnsi="Arial" w:cs="Arial"/>
          <w:b/>
          <w:sz w:val="22"/>
          <w:szCs w:val="22"/>
          <w:lang w:eastAsia="cs-CZ"/>
        </w:rPr>
        <w:t xml:space="preserve">zvolili najvhodnejšie </w:t>
      </w:r>
      <w:r w:rsidR="00E84823" w:rsidRPr="002770A7">
        <w:rPr>
          <w:rFonts w:ascii="Arial" w:hAnsi="Arial" w:cs="Arial"/>
          <w:b/>
          <w:sz w:val="22"/>
          <w:szCs w:val="22"/>
          <w:lang w:eastAsia="cs-CZ"/>
        </w:rPr>
        <w:t xml:space="preserve">opatrenia pre napĺňanie Stratégie. </w:t>
      </w:r>
      <w:r w:rsidR="00C8228F" w:rsidRPr="002770A7">
        <w:rPr>
          <w:rFonts w:ascii="Arial" w:hAnsi="Arial" w:cs="Arial"/>
          <w:b/>
          <w:sz w:val="22"/>
          <w:szCs w:val="22"/>
          <w:lang w:eastAsia="cs-CZ"/>
        </w:rPr>
        <w:t xml:space="preserve"> </w:t>
      </w:r>
      <w:r w:rsidR="00DA7575" w:rsidRPr="002770A7">
        <w:rPr>
          <w:rFonts w:ascii="Arial" w:hAnsi="Arial" w:cs="Arial"/>
          <w:b/>
          <w:sz w:val="22"/>
          <w:szCs w:val="22"/>
          <w:lang w:eastAsia="cs-CZ"/>
        </w:rPr>
        <w:t xml:space="preserve">   </w:t>
      </w:r>
    </w:p>
    <w:p w:rsidR="002257F5" w:rsidRPr="002770A7" w:rsidRDefault="002257F5" w:rsidP="00B4731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C8228F" w:rsidRDefault="00C8228F" w:rsidP="00B4731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B4731C" w:rsidRDefault="00B4731C" w:rsidP="00B4731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B4731C" w:rsidRDefault="00B4731C" w:rsidP="00B4731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B4731C" w:rsidRDefault="00B4731C" w:rsidP="00B4731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B4731C" w:rsidRDefault="00B4731C" w:rsidP="00B4731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B4731C" w:rsidRDefault="00B4731C" w:rsidP="00B4731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B4731C" w:rsidRPr="002770A7" w:rsidRDefault="00B4731C" w:rsidP="00B4731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025893" w:rsidRPr="002770A7" w:rsidRDefault="00025893" w:rsidP="00B4731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025893" w:rsidRPr="002770A7" w:rsidRDefault="00025893" w:rsidP="00B4731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C8228F" w:rsidRPr="002770A7" w:rsidRDefault="00C8228F" w:rsidP="00B4731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2257F5" w:rsidRPr="002770A7" w:rsidRDefault="002257F5" w:rsidP="00B4731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6C14CB" w:rsidRPr="002770A7" w:rsidRDefault="00AF74AD" w:rsidP="00B4731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770A7">
        <w:rPr>
          <w:rFonts w:ascii="Arial" w:hAnsi="Arial" w:cs="Arial"/>
          <w:b/>
          <w:bCs/>
          <w:sz w:val="22"/>
          <w:szCs w:val="22"/>
        </w:rPr>
        <w:t>Príloha č.1</w:t>
      </w:r>
      <w:r w:rsidR="00591292">
        <w:rPr>
          <w:rFonts w:ascii="Arial" w:hAnsi="Arial" w:cs="Arial"/>
          <w:b/>
          <w:bCs/>
          <w:sz w:val="22"/>
          <w:szCs w:val="22"/>
        </w:rPr>
        <w:t xml:space="preserve"> </w:t>
      </w:r>
      <w:r w:rsidRPr="002770A7">
        <w:rPr>
          <w:rFonts w:ascii="Arial" w:hAnsi="Arial" w:cs="Arial"/>
          <w:b/>
          <w:bCs/>
          <w:sz w:val="22"/>
          <w:szCs w:val="22"/>
        </w:rPr>
        <w:t xml:space="preserve">: </w:t>
      </w:r>
    </w:p>
    <w:p w:rsidR="00C8228F" w:rsidRPr="002770A7" w:rsidRDefault="00AF74AD" w:rsidP="00B4731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770A7">
        <w:rPr>
          <w:rFonts w:ascii="Arial" w:hAnsi="Arial" w:cs="Arial"/>
          <w:i/>
          <w:sz w:val="22"/>
          <w:szCs w:val="22"/>
        </w:rPr>
        <w:t>„Stratégia znižovania energetickej náročnosti budov vo vlastníctve BSK“</w:t>
      </w:r>
      <w:r w:rsidR="00591292">
        <w:rPr>
          <w:rFonts w:ascii="Arial" w:hAnsi="Arial" w:cs="Arial"/>
          <w:i/>
          <w:sz w:val="22"/>
          <w:szCs w:val="22"/>
        </w:rPr>
        <w:t xml:space="preserve"> </w:t>
      </w:r>
      <w:r w:rsidR="00591292" w:rsidRPr="00591292">
        <w:rPr>
          <w:rFonts w:ascii="Arial" w:hAnsi="Arial" w:cs="Arial"/>
          <w:b/>
          <w:i/>
          <w:sz w:val="22"/>
          <w:szCs w:val="22"/>
        </w:rPr>
        <w:t>- CD</w:t>
      </w:r>
    </w:p>
    <w:sectPr w:rsidR="00C8228F" w:rsidRPr="002770A7" w:rsidSect="00E4003D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CAF" w:rsidRDefault="00750CAF" w:rsidP="00E4003D">
      <w:r>
        <w:separator/>
      </w:r>
    </w:p>
  </w:endnote>
  <w:endnote w:type="continuationSeparator" w:id="0">
    <w:p w:rsidR="00750CAF" w:rsidRDefault="00750CAF" w:rsidP="00E4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4574322"/>
      <w:docPartObj>
        <w:docPartGallery w:val="Page Numbers (Bottom of Page)"/>
        <w:docPartUnique/>
      </w:docPartObj>
    </w:sdtPr>
    <w:sdtEndPr/>
    <w:sdtContent>
      <w:p w:rsidR="00750CAF" w:rsidRDefault="00750CA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7CC">
          <w:rPr>
            <w:noProof/>
          </w:rPr>
          <w:t>2</w:t>
        </w:r>
        <w:r>
          <w:fldChar w:fldCharType="end"/>
        </w:r>
      </w:p>
    </w:sdtContent>
  </w:sdt>
  <w:p w:rsidR="00750CAF" w:rsidRDefault="00750CA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CAF" w:rsidRDefault="00750CAF" w:rsidP="00E4003D">
      <w:r>
        <w:separator/>
      </w:r>
    </w:p>
  </w:footnote>
  <w:footnote w:type="continuationSeparator" w:id="0">
    <w:p w:rsidR="00750CAF" w:rsidRDefault="00750CAF" w:rsidP="00E40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272"/>
    <w:multiLevelType w:val="hybridMultilevel"/>
    <w:tmpl w:val="0A1C1C46"/>
    <w:lvl w:ilvl="0" w:tplc="C0B0D56C">
      <w:start w:val="6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0B0035D"/>
    <w:multiLevelType w:val="hybridMultilevel"/>
    <w:tmpl w:val="81AE6D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1307E"/>
    <w:multiLevelType w:val="hybridMultilevel"/>
    <w:tmpl w:val="183E560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A1E51"/>
    <w:multiLevelType w:val="hybridMultilevel"/>
    <w:tmpl w:val="2472A20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C30CD3"/>
    <w:multiLevelType w:val="hybridMultilevel"/>
    <w:tmpl w:val="56DCB4DA"/>
    <w:lvl w:ilvl="0" w:tplc="C4547714">
      <w:start w:val="84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9520D8"/>
    <w:multiLevelType w:val="hybridMultilevel"/>
    <w:tmpl w:val="120833B2"/>
    <w:lvl w:ilvl="0" w:tplc="D92C2698">
      <w:start w:val="84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B44219"/>
    <w:multiLevelType w:val="hybridMultilevel"/>
    <w:tmpl w:val="E47880A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E086E15"/>
    <w:multiLevelType w:val="hybridMultilevel"/>
    <w:tmpl w:val="F288E81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CD57EB"/>
    <w:multiLevelType w:val="hybridMultilevel"/>
    <w:tmpl w:val="11C87C7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9B6E40"/>
    <w:multiLevelType w:val="hybridMultilevel"/>
    <w:tmpl w:val="CA1E6FA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CB2259"/>
    <w:multiLevelType w:val="hybridMultilevel"/>
    <w:tmpl w:val="47A4F48A"/>
    <w:lvl w:ilvl="0" w:tplc="A8CE71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0C260E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2780B8D"/>
    <w:multiLevelType w:val="hybridMultilevel"/>
    <w:tmpl w:val="905A59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C6067B"/>
    <w:multiLevelType w:val="hybridMultilevel"/>
    <w:tmpl w:val="910885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5C5CB8"/>
    <w:multiLevelType w:val="hybridMultilevel"/>
    <w:tmpl w:val="05584D76"/>
    <w:lvl w:ilvl="0" w:tplc="F6E8D556">
      <w:start w:val="3677"/>
      <w:numFmt w:val="bullet"/>
      <w:lvlText w:val="-"/>
      <w:lvlJc w:val="left"/>
      <w:pPr>
        <w:ind w:left="45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5">
    <w:nsid w:val="2CD34EBD"/>
    <w:multiLevelType w:val="hybridMultilevel"/>
    <w:tmpl w:val="11C87C7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C14D41"/>
    <w:multiLevelType w:val="hybridMultilevel"/>
    <w:tmpl w:val="F35E1B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EE0B6E"/>
    <w:multiLevelType w:val="hybridMultilevel"/>
    <w:tmpl w:val="4ED22F5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A0636"/>
    <w:multiLevelType w:val="hybridMultilevel"/>
    <w:tmpl w:val="DA5CB1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8C2437"/>
    <w:multiLevelType w:val="hybridMultilevel"/>
    <w:tmpl w:val="F008261C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51225AC"/>
    <w:multiLevelType w:val="hybridMultilevel"/>
    <w:tmpl w:val="945AB83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5B22A62"/>
    <w:multiLevelType w:val="hybridMultilevel"/>
    <w:tmpl w:val="38BE57D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7A4453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A2851F1"/>
    <w:multiLevelType w:val="hybridMultilevel"/>
    <w:tmpl w:val="9DC073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A04E4C"/>
    <w:multiLevelType w:val="hybridMultilevel"/>
    <w:tmpl w:val="AA3ADC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7B46A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09311C3"/>
    <w:multiLevelType w:val="hybridMultilevel"/>
    <w:tmpl w:val="23363A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B33D93"/>
    <w:multiLevelType w:val="multilevel"/>
    <w:tmpl w:val="8C6A3F7E"/>
    <w:lvl w:ilvl="0">
      <w:start w:val="1"/>
      <w:numFmt w:val="decimal"/>
      <w:lvlText w:val="%1."/>
      <w:lvlJc w:val="left"/>
      <w:pPr>
        <w:ind w:left="1982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28">
    <w:nsid w:val="425E53ED"/>
    <w:multiLevelType w:val="hybridMultilevel"/>
    <w:tmpl w:val="FCDACB8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3FB4698"/>
    <w:multiLevelType w:val="hybridMultilevel"/>
    <w:tmpl w:val="0B4471CC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54361F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5F6345D"/>
    <w:multiLevelType w:val="hybridMultilevel"/>
    <w:tmpl w:val="096CE6A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B1068C7"/>
    <w:multiLevelType w:val="multilevel"/>
    <w:tmpl w:val="B7B8A8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177004A"/>
    <w:multiLevelType w:val="hybridMultilevel"/>
    <w:tmpl w:val="78EED9E8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9A252DD"/>
    <w:multiLevelType w:val="hybridMultilevel"/>
    <w:tmpl w:val="D4BCA6B0"/>
    <w:lvl w:ilvl="0" w:tplc="C4547714">
      <w:start w:val="84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3D0BAB"/>
    <w:multiLevelType w:val="hybridMultilevel"/>
    <w:tmpl w:val="B58406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842E81"/>
    <w:multiLevelType w:val="hybridMultilevel"/>
    <w:tmpl w:val="7E04032A"/>
    <w:lvl w:ilvl="0" w:tplc="041B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>
    <w:nsid w:val="61F410DE"/>
    <w:multiLevelType w:val="hybridMultilevel"/>
    <w:tmpl w:val="71E6FAB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6A4DD4"/>
    <w:multiLevelType w:val="hybridMultilevel"/>
    <w:tmpl w:val="89A4BBBC"/>
    <w:lvl w:ilvl="0" w:tplc="041B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704592A"/>
    <w:multiLevelType w:val="hybridMultilevel"/>
    <w:tmpl w:val="D00E26D8"/>
    <w:lvl w:ilvl="0" w:tplc="041B0011">
      <w:start w:val="1"/>
      <w:numFmt w:val="decimal"/>
      <w:lvlText w:val="%1)"/>
      <w:lvlJc w:val="left"/>
      <w:pPr>
        <w:ind w:left="2138" w:hanging="360"/>
      </w:pPr>
    </w:lvl>
    <w:lvl w:ilvl="1" w:tplc="041B0019" w:tentative="1">
      <w:start w:val="1"/>
      <w:numFmt w:val="lowerLetter"/>
      <w:lvlText w:val="%2."/>
      <w:lvlJc w:val="left"/>
      <w:pPr>
        <w:ind w:left="2858" w:hanging="360"/>
      </w:p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</w:lvl>
    <w:lvl w:ilvl="3" w:tplc="041B000F" w:tentative="1">
      <w:start w:val="1"/>
      <w:numFmt w:val="decimal"/>
      <w:lvlText w:val="%4."/>
      <w:lvlJc w:val="left"/>
      <w:pPr>
        <w:ind w:left="4298" w:hanging="360"/>
      </w:p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</w:lvl>
    <w:lvl w:ilvl="6" w:tplc="041B000F" w:tentative="1">
      <w:start w:val="1"/>
      <w:numFmt w:val="decimal"/>
      <w:lvlText w:val="%7."/>
      <w:lvlJc w:val="left"/>
      <w:pPr>
        <w:ind w:left="6458" w:hanging="360"/>
      </w:p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0">
    <w:nsid w:val="6926155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69443527"/>
    <w:multiLevelType w:val="hybridMultilevel"/>
    <w:tmpl w:val="A10E2E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8A6834"/>
    <w:multiLevelType w:val="hybridMultilevel"/>
    <w:tmpl w:val="A35C9E6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C4E30B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6FB842F8"/>
    <w:multiLevelType w:val="hybridMultilevel"/>
    <w:tmpl w:val="AA3ADC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BF50B0"/>
    <w:multiLevelType w:val="hybridMultilevel"/>
    <w:tmpl w:val="8E18AB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0937F2D"/>
    <w:multiLevelType w:val="hybridMultilevel"/>
    <w:tmpl w:val="6430ED8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1A4585"/>
    <w:multiLevelType w:val="multilevel"/>
    <w:tmpl w:val="5ADE74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8">
    <w:nsid w:val="7EE73ED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7FA22BF6"/>
    <w:multiLevelType w:val="hybridMultilevel"/>
    <w:tmpl w:val="52D2D48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5"/>
  </w:num>
  <w:num w:numId="3">
    <w:abstractNumId w:val="37"/>
  </w:num>
  <w:num w:numId="4">
    <w:abstractNumId w:val="9"/>
  </w:num>
  <w:num w:numId="5">
    <w:abstractNumId w:val="42"/>
  </w:num>
  <w:num w:numId="6">
    <w:abstractNumId w:val="17"/>
  </w:num>
  <w:num w:numId="7">
    <w:abstractNumId w:val="3"/>
  </w:num>
  <w:num w:numId="8">
    <w:abstractNumId w:val="5"/>
  </w:num>
  <w:num w:numId="9">
    <w:abstractNumId w:val="2"/>
  </w:num>
  <w:num w:numId="10">
    <w:abstractNumId w:val="34"/>
  </w:num>
  <w:num w:numId="11">
    <w:abstractNumId w:val="4"/>
  </w:num>
  <w:num w:numId="12">
    <w:abstractNumId w:val="24"/>
  </w:num>
  <w:num w:numId="13">
    <w:abstractNumId w:val="1"/>
  </w:num>
  <w:num w:numId="14">
    <w:abstractNumId w:val="41"/>
  </w:num>
  <w:num w:numId="15">
    <w:abstractNumId w:val="12"/>
  </w:num>
  <w:num w:numId="16">
    <w:abstractNumId w:val="35"/>
  </w:num>
  <w:num w:numId="17">
    <w:abstractNumId w:val="16"/>
  </w:num>
  <w:num w:numId="18">
    <w:abstractNumId w:val="45"/>
  </w:num>
  <w:num w:numId="19">
    <w:abstractNumId w:val="18"/>
  </w:num>
  <w:num w:numId="20">
    <w:abstractNumId w:val="13"/>
  </w:num>
  <w:num w:numId="21">
    <w:abstractNumId w:val="20"/>
  </w:num>
  <w:num w:numId="22">
    <w:abstractNumId w:val="22"/>
  </w:num>
  <w:num w:numId="23">
    <w:abstractNumId w:val="25"/>
  </w:num>
  <w:num w:numId="24">
    <w:abstractNumId w:val="30"/>
  </w:num>
  <w:num w:numId="25">
    <w:abstractNumId w:val="44"/>
  </w:num>
  <w:num w:numId="26">
    <w:abstractNumId w:val="28"/>
  </w:num>
  <w:num w:numId="27">
    <w:abstractNumId w:val="21"/>
  </w:num>
  <w:num w:numId="28">
    <w:abstractNumId w:val="31"/>
  </w:num>
  <w:num w:numId="29">
    <w:abstractNumId w:val="32"/>
  </w:num>
  <w:num w:numId="30">
    <w:abstractNumId w:val="40"/>
  </w:num>
  <w:num w:numId="31">
    <w:abstractNumId w:val="43"/>
  </w:num>
  <w:num w:numId="32">
    <w:abstractNumId w:val="48"/>
  </w:num>
  <w:num w:numId="33">
    <w:abstractNumId w:val="0"/>
  </w:num>
  <w:num w:numId="34">
    <w:abstractNumId w:val="11"/>
  </w:num>
  <w:num w:numId="35">
    <w:abstractNumId w:val="8"/>
  </w:num>
  <w:num w:numId="36">
    <w:abstractNumId w:val="33"/>
  </w:num>
  <w:num w:numId="37">
    <w:abstractNumId w:val="36"/>
  </w:num>
  <w:num w:numId="38">
    <w:abstractNumId w:val="14"/>
  </w:num>
  <w:num w:numId="39">
    <w:abstractNumId w:val="10"/>
  </w:num>
  <w:num w:numId="40">
    <w:abstractNumId w:val="26"/>
  </w:num>
  <w:num w:numId="41">
    <w:abstractNumId w:val="29"/>
  </w:num>
  <w:num w:numId="42">
    <w:abstractNumId w:val="47"/>
  </w:num>
  <w:num w:numId="43">
    <w:abstractNumId w:val="39"/>
  </w:num>
  <w:num w:numId="44">
    <w:abstractNumId w:val="46"/>
  </w:num>
  <w:num w:numId="45">
    <w:abstractNumId w:val="27"/>
  </w:num>
  <w:num w:numId="46">
    <w:abstractNumId w:val="23"/>
  </w:num>
  <w:num w:numId="47">
    <w:abstractNumId w:val="49"/>
  </w:num>
  <w:num w:numId="48">
    <w:abstractNumId w:val="19"/>
  </w:num>
  <w:num w:numId="49">
    <w:abstractNumId w:val="7"/>
  </w:num>
  <w:num w:numId="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25893"/>
    <w:rsid w:val="00050C71"/>
    <w:rsid w:val="000821B0"/>
    <w:rsid w:val="00083D6F"/>
    <w:rsid w:val="000A5A73"/>
    <w:rsid w:val="000A7990"/>
    <w:rsid w:val="000B42A9"/>
    <w:rsid w:val="000F60D8"/>
    <w:rsid w:val="001171C4"/>
    <w:rsid w:val="001A6DAF"/>
    <w:rsid w:val="001A7B5C"/>
    <w:rsid w:val="001B4492"/>
    <w:rsid w:val="001C69A6"/>
    <w:rsid w:val="001F70B8"/>
    <w:rsid w:val="00224B04"/>
    <w:rsid w:val="002257F5"/>
    <w:rsid w:val="00240176"/>
    <w:rsid w:val="00241F7F"/>
    <w:rsid w:val="00250120"/>
    <w:rsid w:val="002770A7"/>
    <w:rsid w:val="00282518"/>
    <w:rsid w:val="00285E48"/>
    <w:rsid w:val="0029033E"/>
    <w:rsid w:val="00296A96"/>
    <w:rsid w:val="002A70A8"/>
    <w:rsid w:val="002A7864"/>
    <w:rsid w:val="002B0374"/>
    <w:rsid w:val="002D59C4"/>
    <w:rsid w:val="002E5BE9"/>
    <w:rsid w:val="00317EB8"/>
    <w:rsid w:val="00327E82"/>
    <w:rsid w:val="00350265"/>
    <w:rsid w:val="003702D4"/>
    <w:rsid w:val="00372900"/>
    <w:rsid w:val="00372B76"/>
    <w:rsid w:val="00372EF6"/>
    <w:rsid w:val="00380A1D"/>
    <w:rsid w:val="00387F09"/>
    <w:rsid w:val="00397458"/>
    <w:rsid w:val="003B3CDF"/>
    <w:rsid w:val="003B50C8"/>
    <w:rsid w:val="003C478A"/>
    <w:rsid w:val="003E2A5B"/>
    <w:rsid w:val="003E3A4D"/>
    <w:rsid w:val="004032B2"/>
    <w:rsid w:val="0040399D"/>
    <w:rsid w:val="00405CA4"/>
    <w:rsid w:val="0040668F"/>
    <w:rsid w:val="004151DF"/>
    <w:rsid w:val="004965AD"/>
    <w:rsid w:val="004B06A5"/>
    <w:rsid w:val="005255C9"/>
    <w:rsid w:val="00527140"/>
    <w:rsid w:val="005318A2"/>
    <w:rsid w:val="00541CF1"/>
    <w:rsid w:val="00544DDE"/>
    <w:rsid w:val="0055274E"/>
    <w:rsid w:val="00564B88"/>
    <w:rsid w:val="00566EBC"/>
    <w:rsid w:val="00585012"/>
    <w:rsid w:val="00591292"/>
    <w:rsid w:val="0059169C"/>
    <w:rsid w:val="005D6CEE"/>
    <w:rsid w:val="005F3DF5"/>
    <w:rsid w:val="00626BDC"/>
    <w:rsid w:val="0064597D"/>
    <w:rsid w:val="0065383E"/>
    <w:rsid w:val="00677D0F"/>
    <w:rsid w:val="006A07CC"/>
    <w:rsid w:val="006C10B6"/>
    <w:rsid w:val="006C14CB"/>
    <w:rsid w:val="006D1E9E"/>
    <w:rsid w:val="007176E8"/>
    <w:rsid w:val="00750CAF"/>
    <w:rsid w:val="0075398D"/>
    <w:rsid w:val="00756F95"/>
    <w:rsid w:val="00757786"/>
    <w:rsid w:val="00766886"/>
    <w:rsid w:val="00770E13"/>
    <w:rsid w:val="00773802"/>
    <w:rsid w:val="00774E00"/>
    <w:rsid w:val="007C600E"/>
    <w:rsid w:val="007C7894"/>
    <w:rsid w:val="007E442C"/>
    <w:rsid w:val="00807E15"/>
    <w:rsid w:val="00811D11"/>
    <w:rsid w:val="00826F7C"/>
    <w:rsid w:val="008331CA"/>
    <w:rsid w:val="0087728B"/>
    <w:rsid w:val="0088493B"/>
    <w:rsid w:val="00897B01"/>
    <w:rsid w:val="008A0404"/>
    <w:rsid w:val="00913E07"/>
    <w:rsid w:val="009245AD"/>
    <w:rsid w:val="00927B2D"/>
    <w:rsid w:val="00932262"/>
    <w:rsid w:val="0095601B"/>
    <w:rsid w:val="00960889"/>
    <w:rsid w:val="009621D8"/>
    <w:rsid w:val="009859FA"/>
    <w:rsid w:val="00990873"/>
    <w:rsid w:val="00994499"/>
    <w:rsid w:val="00996EBD"/>
    <w:rsid w:val="009A16DF"/>
    <w:rsid w:val="009E54CA"/>
    <w:rsid w:val="00A05A3D"/>
    <w:rsid w:val="00A31D3F"/>
    <w:rsid w:val="00A42C5B"/>
    <w:rsid w:val="00A63772"/>
    <w:rsid w:val="00A669C5"/>
    <w:rsid w:val="00A71FF1"/>
    <w:rsid w:val="00A75B71"/>
    <w:rsid w:val="00A91763"/>
    <w:rsid w:val="00A9578F"/>
    <w:rsid w:val="00AA6D92"/>
    <w:rsid w:val="00AD3349"/>
    <w:rsid w:val="00AF74AD"/>
    <w:rsid w:val="00B05859"/>
    <w:rsid w:val="00B4731C"/>
    <w:rsid w:val="00B54B4C"/>
    <w:rsid w:val="00B57A7A"/>
    <w:rsid w:val="00B921E7"/>
    <w:rsid w:val="00BB14E8"/>
    <w:rsid w:val="00BF42E6"/>
    <w:rsid w:val="00C34D28"/>
    <w:rsid w:val="00C4065C"/>
    <w:rsid w:val="00C51C92"/>
    <w:rsid w:val="00C74E72"/>
    <w:rsid w:val="00C8228F"/>
    <w:rsid w:val="00C9434F"/>
    <w:rsid w:val="00CA6475"/>
    <w:rsid w:val="00CB2D66"/>
    <w:rsid w:val="00CD2899"/>
    <w:rsid w:val="00CE6BD3"/>
    <w:rsid w:val="00D102A8"/>
    <w:rsid w:val="00D10300"/>
    <w:rsid w:val="00D2523F"/>
    <w:rsid w:val="00D25F24"/>
    <w:rsid w:val="00D53AFE"/>
    <w:rsid w:val="00D6393F"/>
    <w:rsid w:val="00D64854"/>
    <w:rsid w:val="00DA618C"/>
    <w:rsid w:val="00DA7575"/>
    <w:rsid w:val="00DB4B7A"/>
    <w:rsid w:val="00DC04A9"/>
    <w:rsid w:val="00DC3589"/>
    <w:rsid w:val="00DE475D"/>
    <w:rsid w:val="00DF0B4C"/>
    <w:rsid w:val="00E236D5"/>
    <w:rsid w:val="00E347AB"/>
    <w:rsid w:val="00E4003D"/>
    <w:rsid w:val="00E70627"/>
    <w:rsid w:val="00E84823"/>
    <w:rsid w:val="00E856ED"/>
    <w:rsid w:val="00E85AF3"/>
    <w:rsid w:val="00E90F4F"/>
    <w:rsid w:val="00E95759"/>
    <w:rsid w:val="00EB52B0"/>
    <w:rsid w:val="00ED3371"/>
    <w:rsid w:val="00EF41A0"/>
    <w:rsid w:val="00F04D20"/>
    <w:rsid w:val="00F10EE9"/>
    <w:rsid w:val="00F149CF"/>
    <w:rsid w:val="00F23CCC"/>
    <w:rsid w:val="00F44120"/>
    <w:rsid w:val="00F7169D"/>
    <w:rsid w:val="00F8151A"/>
    <w:rsid w:val="00F96FCC"/>
    <w:rsid w:val="00FB4045"/>
    <w:rsid w:val="00FD13C1"/>
    <w:rsid w:val="00FD7DCD"/>
    <w:rsid w:val="00FE2B2A"/>
    <w:rsid w:val="00FE3D4E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7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rsid w:val="0040668F"/>
    <w:pPr>
      <w:jc w:val="both"/>
    </w:pPr>
    <w:rPr>
      <w:sz w:val="22"/>
      <w:szCs w:val="22"/>
      <w:lang w:val="cs-CZ" w:eastAsia="cs-CZ"/>
    </w:rPr>
  </w:style>
  <w:style w:type="character" w:customStyle="1" w:styleId="Zkladntext3Char">
    <w:name w:val="Základný text 3 Char"/>
    <w:basedOn w:val="Predvolenpsmoodseku"/>
    <w:link w:val="Zkladntext3"/>
    <w:rsid w:val="0040668F"/>
    <w:rPr>
      <w:rFonts w:ascii="Times New Roman" w:eastAsia="Times New Roman" w:hAnsi="Times New Roman" w:cs="Times New Roman"/>
      <w:lang w:val="cs-CZ" w:eastAsia="cs-CZ"/>
    </w:rPr>
  </w:style>
  <w:style w:type="paragraph" w:styleId="Bezriadkovania">
    <w:name w:val="No Spacing"/>
    <w:qFormat/>
    <w:rsid w:val="00406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1C69A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C69A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C69A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69A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C69A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69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69A6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99"/>
    <w:qFormat/>
    <w:rsid w:val="00397458"/>
    <w:pPr>
      <w:ind w:left="720"/>
      <w:contextualSpacing/>
    </w:pPr>
  </w:style>
  <w:style w:type="paragraph" w:customStyle="1" w:styleId="CharChar1CharCharCharCharChar">
    <w:name w:val="Char Char1 Char Char Char Char Char"/>
    <w:basedOn w:val="Normlny"/>
    <w:rsid w:val="00D53AF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E957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E400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4003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400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4003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trategiaBSK">
    <w:name w:val="Strategia_BSK"/>
    <w:basedOn w:val="Normlny"/>
    <w:link w:val="StrategiaBSKChar"/>
    <w:qFormat/>
    <w:rsid w:val="00405CA4"/>
    <w:pPr>
      <w:spacing w:line="360" w:lineRule="auto"/>
      <w:ind w:firstLine="851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StrategiaBSKChar">
    <w:name w:val="Strategia_BSK Char"/>
    <w:basedOn w:val="Predvolenpsmoodseku"/>
    <w:link w:val="StrategiaBSK"/>
    <w:rsid w:val="00405CA4"/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7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rsid w:val="0040668F"/>
    <w:pPr>
      <w:jc w:val="both"/>
    </w:pPr>
    <w:rPr>
      <w:sz w:val="22"/>
      <w:szCs w:val="22"/>
      <w:lang w:val="cs-CZ" w:eastAsia="cs-CZ"/>
    </w:rPr>
  </w:style>
  <w:style w:type="character" w:customStyle="1" w:styleId="Zkladntext3Char">
    <w:name w:val="Základný text 3 Char"/>
    <w:basedOn w:val="Predvolenpsmoodseku"/>
    <w:link w:val="Zkladntext3"/>
    <w:rsid w:val="0040668F"/>
    <w:rPr>
      <w:rFonts w:ascii="Times New Roman" w:eastAsia="Times New Roman" w:hAnsi="Times New Roman" w:cs="Times New Roman"/>
      <w:lang w:val="cs-CZ" w:eastAsia="cs-CZ"/>
    </w:rPr>
  </w:style>
  <w:style w:type="paragraph" w:styleId="Bezriadkovania">
    <w:name w:val="No Spacing"/>
    <w:qFormat/>
    <w:rsid w:val="00406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1C69A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C69A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C69A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69A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C69A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69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69A6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99"/>
    <w:qFormat/>
    <w:rsid w:val="00397458"/>
    <w:pPr>
      <w:ind w:left="720"/>
      <w:contextualSpacing/>
    </w:pPr>
  </w:style>
  <w:style w:type="paragraph" w:customStyle="1" w:styleId="CharChar1CharCharCharCharChar">
    <w:name w:val="Char Char1 Char Char Char Char Char"/>
    <w:basedOn w:val="Normlny"/>
    <w:rsid w:val="00D53AF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E957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E400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4003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400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4003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trategiaBSK">
    <w:name w:val="Strategia_BSK"/>
    <w:basedOn w:val="Normlny"/>
    <w:link w:val="StrategiaBSKChar"/>
    <w:qFormat/>
    <w:rsid w:val="00405CA4"/>
    <w:pPr>
      <w:spacing w:line="360" w:lineRule="auto"/>
      <w:ind w:firstLine="851"/>
      <w:jc w:val="both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StrategiaBSKChar">
    <w:name w:val="Strategia_BSK Char"/>
    <w:basedOn w:val="Predvolenpsmoodseku"/>
    <w:link w:val="StrategiaBSK"/>
    <w:rsid w:val="00405CA4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49BFC-1C1D-4933-8734-2FC09B4F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8</Pages>
  <Words>2627</Words>
  <Characters>14980</Characters>
  <Application>Microsoft Office Word</Application>
  <DocSecurity>0</DocSecurity>
  <Lines>124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17572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Zuzana Lovíšková</dc:creator>
  <cp:lastModifiedBy>Joana Holčíková</cp:lastModifiedBy>
  <cp:revision>15</cp:revision>
  <cp:lastPrinted>2015-06-09T06:49:00Z</cp:lastPrinted>
  <dcterms:created xsi:type="dcterms:W3CDTF">2015-05-18T14:36:00Z</dcterms:created>
  <dcterms:modified xsi:type="dcterms:W3CDTF">2015-06-09T06:49:00Z</dcterms:modified>
</cp:coreProperties>
</file>